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55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 at 2026-02-25T19:09:59Z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 at 2026-02-24T02:04:55Z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 at 2026-02-10T18:04:05Z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2026-02-23T23:49:35Z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 at 2026-02-15T03:28:11Z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 at 2026-02-24T16:56:29Z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 at 2026-02-28T07:24:12Z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2026-02-20T00:07:44Z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ProdAppWritesAndExecutesModule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version(7.33.20505.0)updated on machines BST-HQ-VONE,BST-HQ-VBR-01,BST-HQ-RG-01,BST-HQ-RA-01 (handled by S. Sharma) — 0.9h of tech effort</w:t>
      </w:r>
    </w:p>
    <w:p>
      <w:pPr>
        <w:pStyle w:val="ListBullet"/>
        <w:spacing w:after="80"/>
      </w:pPr>
      <w:r>
        <w:rPr>
          <w:rFonts w:ascii="Open Sans" w:hAnsi="Open Sans"/>
          <w:b w:val="0"/>
          <w:i w:val="0"/>
          <w:color w:val="59595B"/>
          <w:sz w:val="22"/>
        </w:rPr>
        <w:t>Crowdstrike latest version(7.33.20505.0)updated on machines BST-HQ-VONE,BST-HQ-VBR-01,BST-HQ-RG-01,BST-HQ-RA-01 — 0.9h on 2026-02-09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