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Boston Group</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Boston Group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98</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98 alert(s) across 12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BST-HQ-VONE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DESKTOP-F42DDF1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BST-HQ-RA-01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 at 2026-03-31T08:37:56Z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DESKTOP-F42DDF1 at 2026-03-17T20:06:05Z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DESKTOP-F42DDF1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KEVIN2 at 2026-03-24T16:38:26Z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 at 2026-03-31T08:22:50Z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98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98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 (7.34.20610.0) updated on machine: BST-HQ-AD-01, BST-HQ-AD-02, BST-HQ-APP-01, BST-HQ-FS-01 (handled by A. Saraf) — 1.0h of tech effort</w:t>
      </w:r>
    </w:p>
    <w:p>
      <w:pPr>
        <w:pStyle w:val="ListBullet"/>
        <w:spacing w:after="80"/>
      </w:pPr>
      <w:r>
        <w:rPr>
          <w:rFonts w:ascii="Open Sans" w:hAnsi="Open Sans"/>
          <w:b w:val="0"/>
          <w:i w:val="0"/>
          <w:color w:val="59595B"/>
          <w:sz w:val="22"/>
        </w:rPr>
        <w:t>Crowdstrike latest version(7.34.20610.0)updated on machines BG75,BG72,BG77,BST-HQ-FS-02 (handled by S. Sharma) — 1.0h of tech effort</w:t>
      </w:r>
    </w:p>
    <w:p>
      <w:pPr>
        <w:pStyle w:val="ListBullet"/>
        <w:spacing w:after="80"/>
      </w:pPr>
      <w:r>
        <w:rPr>
          <w:rFonts w:ascii="Open Sans" w:hAnsi="Open Sans"/>
          <w:b w:val="0"/>
          <w:i w:val="0"/>
          <w:color w:val="59595B"/>
          <w:sz w:val="22"/>
        </w:rPr>
        <w:t>Crowdstrike latest version (7.34.20610.0) updated on machine: BST-HQ-AD-01, BST-HQ-AD-02, BST-HQ-APP-01, BST-HQ-FS-01 — 1.0h on 2026-03-18</w:t>
      </w:r>
    </w:p>
    <w:p>
      <w:pPr>
        <w:pStyle w:val="ListBullet"/>
        <w:spacing w:after="80"/>
      </w:pPr>
      <w:r>
        <w:rPr>
          <w:rFonts w:ascii="Open Sans" w:hAnsi="Open Sans"/>
          <w:b w:val="0"/>
          <w:i w:val="0"/>
          <w:color w:val="59595B"/>
          <w:sz w:val="22"/>
        </w:rPr>
        <w:t>Crowdstrike latest version(7.34.20610.0)updated on machines BG75,BG72,BG77,BST-HQ-FS-02 — 1.0h on 2026-03-18</w:t>
      </w:r>
    </w:p>
    <w:p>
      <w:pPr>
        <w:pStyle w:val="ListBullet"/>
        <w:spacing w:after="80"/>
      </w:pPr>
      <w:r>
        <w:rPr>
          <w:rFonts w:ascii="Open Sans" w:hAnsi="Open Sans"/>
          <w:b w:val="0"/>
          <w:i w:val="0"/>
          <w:color w:val="59595B"/>
          <w:sz w:val="22"/>
        </w:rPr>
        <w:t>RE: Service Cancellation -BST — 0.4h on 2026-03-26</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Environmental Services. Based on that classification, the data Technijian's stack is helping protect is most likely characterized as: Customer PII.</w:t>
      </w:r>
    </w:p>
    <w:p>
      <w:pPr>
        <w:spacing w:after="160"/>
      </w:pPr>
      <w:r>
        <w:rPr>
          <w:rFonts w:ascii="Open Sans" w:hAnsi="Open Sans"/>
          <w:b w:val="0"/>
          <w:i w:val="0"/>
          <w:color w:val="59595B"/>
          <w:sz w:val="21"/>
        </w:rPr>
        <w:t>Environmental services firms keep regulatory records (waste manifests, disposal logs) under EPA rules. General CCPA applies to customer/employee PII.</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EPA records: </w:t>
      </w:r>
      <w:r>
        <w:rPr>
          <w:rFonts w:ascii="Open Sans" w:hAnsi="Open Sans"/>
          <w:b w:val="0"/>
          <w:i w:val="0"/>
          <w:color w:val="59595B"/>
          <w:sz w:val="22"/>
        </w:rPr>
        <w:t>tamper-evident audit logs around recordkeeping systems support EPA regulatory document-retention requirements.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