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Boston Group</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Boston Group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105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28</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28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105 alert(s) across 14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BST-JEFF-HOME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BST-HQ-APP-01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BST-HQ-FS-01 at 2026-04-20T16:09:00Z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BG41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DESKTOP-QPBGLP8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BST-HQ-APP-01 at 2026-04-17T15:32:00Z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DESKTOP-QPBGLP8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 at 2026-04-27T18:19:09Z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BG41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BG41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DESKTOP-QPBGLP8 at 2026-04-21T15:59:16Z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DESKTOP-QPBGLP8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 at 2026-04-20T21:26:42Z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OnWrite-HashPupAdwareCrowdStrikeSha256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BST-JEFF-HOME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BST-JEFF-HOME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BST-JEFF-HOME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ForfilesPcaulaIndirectCommandExecution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 at 2026-04-13T23:49:47Z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105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105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token (handled by R. Mohamed) — 0.5h of tech effort</w:t>
      </w:r>
    </w:p>
    <w:p>
      <w:pPr>
        <w:pStyle w:val="ListBullet"/>
        <w:spacing w:after="80"/>
      </w:pPr>
      <w:r>
        <w:rPr>
          <w:rFonts w:ascii="Open Sans" w:hAnsi="Open Sans"/>
          <w:b w:val="0"/>
          <w:i w:val="0"/>
          <w:color w:val="59595B"/>
          <w:sz w:val="22"/>
        </w:rPr>
        <w:t>Crowdstrike latest version ( 7.35.20709.0) updated on, BG77,BOSTON-KEVINJR,BST-HQ-OPSPRB,BST-HQ-VBR-01 (handled by S. Kumar) — 1.0h of tech effort</w:t>
      </w:r>
    </w:p>
    <w:p>
      <w:pPr>
        <w:pStyle w:val="ListBullet"/>
        <w:spacing w:after="80"/>
      </w:pPr>
      <w:r>
        <w:rPr>
          <w:rFonts w:ascii="Open Sans" w:hAnsi="Open Sans"/>
          <w:b w:val="0"/>
          <w:i w:val="0"/>
          <w:color w:val="59595B"/>
          <w:sz w:val="22"/>
        </w:rPr>
        <w:t>Crowdstrike latest version ( 7.35.20709.0) updated on, BG77,BOSTON-KEVINJR,BST-HQ-OPSPRB,BST-HQ-VBR-01 — 1.0h on 2026-04-07</w:t>
      </w:r>
    </w:p>
    <w:p>
      <w:pPr>
        <w:pStyle w:val="ListBullet"/>
        <w:spacing w:after="80"/>
      </w:pPr>
      <w:r>
        <w:rPr>
          <w:rFonts w:ascii="Open Sans" w:hAnsi="Open Sans"/>
          <w:b w:val="0"/>
          <w:i w:val="0"/>
          <w:color w:val="59595B"/>
          <w:sz w:val="22"/>
        </w:rPr>
        <w:t>Re: Boston Group - Time-Sensitive Closeout Items (Reply Requested) — 1.8h on 2026-04-23</w:t>
      </w:r>
    </w:p>
    <w:p>
      <w:pPr>
        <w:pStyle w:val="ListBullet"/>
        <w:spacing w:after="80"/>
      </w:pPr>
      <w:r>
        <w:rPr>
          <w:rFonts w:ascii="Open Sans" w:hAnsi="Open Sans"/>
          <w:b w:val="0"/>
          <w:i w:val="0"/>
          <w:color w:val="59595B"/>
          <w:sz w:val="22"/>
        </w:rPr>
        <w:t>crowdstrike token — 0.2h on 2026-04-22</w:t>
      </w:r>
    </w:p>
    <w:p>
      <w:pPr>
        <w:pStyle w:val="ListBullet"/>
        <w:spacing w:after="80"/>
      </w:pPr>
      <w:r>
        <w:rPr>
          <w:rFonts w:ascii="Open Sans" w:hAnsi="Open Sans"/>
          <w:b w:val="0"/>
          <w:i w:val="0"/>
          <w:color w:val="59595B"/>
          <w:sz w:val="22"/>
        </w:rPr>
        <w:t>crowdstrike token — 0.2h on 2026-04-23</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GenericCreateAccountPersistence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Environmental Services. Based on that classification, the data Technijian's stack is helping protect is most likely characterized as: Customer PII.</w:t>
      </w:r>
    </w:p>
    <w:p>
      <w:pPr>
        <w:spacing w:after="160"/>
      </w:pPr>
      <w:r>
        <w:rPr>
          <w:rFonts w:ascii="Open Sans" w:hAnsi="Open Sans"/>
          <w:b w:val="0"/>
          <w:i w:val="0"/>
          <w:color w:val="59595B"/>
          <w:sz w:val="21"/>
        </w:rPr>
        <w:t>Environmental services firms keep regulatory records (waste manifests, disposal logs) under EPA rules. General CCPA applies to customer/employee PII.</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EPA records: </w:t>
      </w:r>
      <w:r>
        <w:rPr>
          <w:rFonts w:ascii="Open Sans" w:hAnsi="Open Sans"/>
          <w:b w:val="0"/>
          <w:i w:val="0"/>
          <w:color w:val="59595B"/>
          <w:sz w:val="22"/>
        </w:rPr>
        <w:t>tamper-evident audit logs around recordkeeping systems support EPA regulatory document-retention requirements.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