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BST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12</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75 patches across 12 BST endpoints — 75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BST's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Patch Managment Task</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BST-HQ-VBR-01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UCCR</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57.1%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46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Setup_147.0.4_x64.exe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Setup_147.0.3_x64.exe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AcroRdrDCUpd2500121223.msp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3de915d8-3c4d-4341-a002-840a5d8be101_97f01c46b968a3faa7e4a342a4b1dfb88ed86bbe_PCI__VEN_8086_DEV_1A1C.cab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postgresql-17.9-1-windows-x64.exe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Omnissa-Horizon-Client-2512-8.17.1-22261173697.exe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3de915d8-3c4d-4341-a002-840a5d8be101_97f01c46b968a3faa7e4a342a4b1dfb88ed86bbe_PCI__VEN_8086_DEV_153A.cab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142</w:t>
            </w:r>
          </w:p>
        </w:tc>
      </w:tr>
    </w:tbl>
    <w:p>
      <w:pPr>
        <w:spacing w:after="160"/>
      </w:pPr>
      <w:r>
        <w:rPr>
          <w:rFonts w:ascii="Open Sans" w:hAnsi="Open Sans"/>
          <w:b/>
          <w:i w:val="0"/>
          <w:color w:val="1A1A2E"/>
          <w:sz w:val="22"/>
        </w:rPr>
        <w:t>Through February 2026, Technijian has deployed 142 patches year-to-date — including 1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75 security and feature patches </w:t>
      </w:r>
      <w:r>
        <w:rPr>
          <w:rFonts w:ascii="Open Sans" w:hAnsi="Open Sans"/>
          <w:b w:val="0"/>
          <w:i w:val="0"/>
          <w:color w:val="59595B"/>
          <w:sz w:val="22"/>
        </w:rPr>
        <w:t>across 12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7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11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BST Servers pending for reboot after APD (handled by A. Saraf) — 3.7h of tech effort</w:t>
      </w:r>
    </w:p>
    <w:p>
      <w:pPr>
        <w:pStyle w:val="ListBullet"/>
        <w:spacing w:after="80"/>
      </w:pPr>
      <w:r>
        <w:rPr>
          <w:rFonts w:ascii="Open Sans" w:hAnsi="Open Sans"/>
          <w:b w:val="0"/>
          <w:i w:val="0"/>
          <w:color w:val="59595B"/>
          <w:sz w:val="22"/>
        </w:rPr>
        <w:t>Server BST-HQ-VONE pending for reboot after APD (handled by S. Sharma) — 0.3h of tech effort</w:t>
      </w:r>
    </w:p>
    <w:p>
      <w:pPr>
        <w:pStyle w:val="ListBullet"/>
        <w:spacing w:after="80"/>
      </w:pPr>
      <w:r>
        <w:rPr>
          <w:rFonts w:ascii="Open Sans" w:hAnsi="Open Sans"/>
          <w:b w:val="0"/>
          <w:i w:val="0"/>
          <w:color w:val="59595B"/>
          <w:sz w:val="22"/>
        </w:rPr>
        <w:t>ManageEngine on the following machines: BST-HQ-LPT-02, BST-HQ-OPSPRB-0, BST-HQ-RA-01, and BST-HQ-RG-01 to version 11.5.2600.19.W (handled by P. Biswal) — 1.0h of tech effort</w:t>
      </w:r>
    </w:p>
    <w:p>
      <w:pPr>
        <w:pStyle w:val="ListBullet"/>
        <w:spacing w:after="80"/>
      </w:pPr>
      <w:r>
        <w:rPr>
          <w:rFonts w:ascii="Open Sans" w:hAnsi="Open Sans"/>
          <w:b w:val="0"/>
          <w:i w:val="0"/>
          <w:color w:val="59595B"/>
          <w:sz w:val="22"/>
        </w:rPr>
        <w:t>MyRMM Manage-Engine Latest version (11.5.2600.19.W) updated:- BST-HQ-OPSPRB-01, BST-HQ-AD-01, BST-HQ-AD-02 (handled by Y. Kumar) — 0.8h of tech effort</w:t>
      </w:r>
    </w:p>
    <w:p>
      <w:pPr>
        <w:pStyle w:val="ListBullet"/>
        <w:spacing w:after="80"/>
      </w:pPr>
      <w:r>
        <w:rPr>
          <w:rFonts w:ascii="Open Sans" w:hAnsi="Open Sans"/>
          <w:b w:val="0"/>
          <w:i w:val="0"/>
          <w:color w:val="59595B"/>
          <w:sz w:val="22"/>
        </w:rPr>
        <w:t>Manage-Engine Latest version updated 11.5.2600.19.W - KEVIN2,BG77,BG72 (handled by S. Sharma) — 0.7h of tech effort</w:t>
      </w:r>
    </w:p>
    <w:p>
      <w:pPr>
        <w:pStyle w:val="ListBullet"/>
        <w:spacing w:after="80"/>
      </w:pPr>
      <w:r>
        <w:rPr>
          <w:rFonts w:ascii="Open Sans" w:hAnsi="Open Sans"/>
          <w:b w:val="0"/>
          <w:i w:val="0"/>
          <w:color w:val="59595B"/>
          <w:sz w:val="22"/>
        </w:rPr>
        <w:t>MyRMM Manage Engine agent upgraded to the latest version 11.5.2600.19 on BST Servers (handled by G. Kumar) — 0.9h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Environmental Services. Based on that classification, the data Technijian's stack is helping protect is most likely characterized as: Customer PII.</w:t>
      </w:r>
    </w:p>
    <w:p>
      <w:pPr>
        <w:spacing w:after="160"/>
      </w:pPr>
      <w:r>
        <w:rPr>
          <w:rFonts w:ascii="Open Sans" w:hAnsi="Open Sans"/>
          <w:b w:val="0"/>
          <w:i w:val="0"/>
          <w:color w:val="59595B"/>
          <w:sz w:val="21"/>
        </w:rPr>
        <w:t>Environmental services firms keep regulatory records (waste manifests, disposal logs) under EPA rules. General CCPA applies to customer/employee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EPA records: </w:t>
      </w:r>
      <w:r>
        <w:rPr>
          <w:rFonts w:ascii="Open Sans" w:hAnsi="Open Sans"/>
          <w:b w:val="0"/>
          <w:i w:val="0"/>
          <w:color w:val="59595B"/>
          <w:sz w:val="22"/>
        </w:rPr>
        <w:t>tamper-evident audit logs around recordkeeping systems support EPA regulatory document-retention requirements.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19:59 for client 'BST'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