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Brandywine Homes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Brandywine Homes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97</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17</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15</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17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97 alert(s) across 15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Privilege Escalation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Lateral Movement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BWH-HQ-DT-04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BWH-HQ-LT-15</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 at 2026-04-17T21:04:02Z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 at 2026-04-24T16:00:45Z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 at 2026-04-28T23:06:47Z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GenericBypassUACPrivEsc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Privilege Escalation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 at 2026-04-27T13:32:35Z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CredDump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BWH-HQ-VBR-01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Rundll32Abuse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 at 2026-04-22T17:54:55Z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TABLET-KLFSQ9HN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BWH-HQ-LT-17 at 2026-04-08T16:26:17Z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BWH-HQ-LT-05</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VolumeShadowSnapshotHidden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GenericRemoteSystemDiscovery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BWH-HQ-LT-22</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BWH-HQ-LT-02 at 2026-04-07T22:31:44Z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BWH-HQ-LT-02</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pPr>
        <w:spacing w:after="160"/>
      </w:pPr>
      <w:r>
        <w:rPr>
          <w:rFonts w:ascii="Open Sans" w:hAnsi="Open Sans"/>
          <w:b w:val="0"/>
          <w:i w:val="0"/>
          <w:color w:val="59595B"/>
          <w:sz w:val="20"/>
        </w:rPr>
        <w:t>Showing 40 of 97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97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Crowdstrike latest version (7.36.20805.0) updated on machine:- BWH-HQ-APP-01, BWH-HQ-DT-02, BWH-HQ-OPSPRB-01, DC04 (handled by Y. Kumar) — 1.0h of tech effort</w:t>
      </w:r>
    </w:p>
    <w:p>
      <w:pPr>
        <w:pStyle w:val="ListBullet"/>
        <w:spacing w:after="80"/>
      </w:pPr>
      <w:r>
        <w:rPr>
          <w:rFonts w:ascii="Open Sans" w:hAnsi="Open Sans"/>
          <w:b w:val="0"/>
          <w:i w:val="0"/>
          <w:color w:val="59595B"/>
          <w:sz w:val="22"/>
        </w:rPr>
        <w:t>CrowdStrike Sensor Updated with Version 7.36.20805.0: BWH-HQ-APP-01, BWH-HQ-IIS-01, BWH-HQ-OPSPRB-0, BWH-HQ-RDP-01, BWH-HQ-SQL-01, BWH-HQ-VBR-01 (handled by A. Saraf) — 1.5h of tech effort</w:t>
      </w:r>
    </w:p>
    <w:p>
      <w:pPr>
        <w:pStyle w:val="ListBullet"/>
        <w:spacing w:after="80"/>
      </w:pPr>
      <w:r>
        <w:rPr>
          <w:rFonts w:ascii="Open Sans" w:hAnsi="Open Sans"/>
          <w:b w:val="0"/>
          <w:i w:val="0"/>
          <w:color w:val="59595B"/>
          <w:sz w:val="22"/>
        </w:rPr>
        <w:t>Crowdstrike latest version (7.36.20805.0) updated on machine:- BWH-HQ-CONF-01, BWH-HQ-LT-13, BWWS016-PC, BWWS-CONF2 (handled by Y. Kumar) — 1.0h of tech effort</w:t>
      </w:r>
    </w:p>
    <w:p>
      <w:pPr>
        <w:pStyle w:val="ListBullet"/>
        <w:spacing w:after="80"/>
      </w:pPr>
      <w:r>
        <w:rPr>
          <w:rFonts w:ascii="Open Sans" w:hAnsi="Open Sans"/>
          <w:b w:val="0"/>
          <w:i w:val="0"/>
          <w:color w:val="59595B"/>
          <w:sz w:val="22"/>
        </w:rPr>
        <w:t>Crowdstrike latest version(7.36.20805.0)updated on machines : BWH-HQ-DT-03,BWH-HQ-LT-17 and BWH-HQ-LT-01 (handled by S. Kumar) — 0.8h of tech effort</w:t>
      </w:r>
    </w:p>
    <w:p>
      <w:pPr>
        <w:pStyle w:val="ListBullet"/>
        <w:spacing w:after="80"/>
      </w:pPr>
      <w:r>
        <w:rPr>
          <w:rFonts w:ascii="Open Sans" w:hAnsi="Open Sans"/>
          <w:b w:val="0"/>
          <w:i w:val="0"/>
          <w:color w:val="59595B"/>
          <w:sz w:val="22"/>
        </w:rPr>
        <w:t>Crowdstrike latest version (7.35.20709.0) updated on machine:- BWH-HQ-CONF-01, BWH-HQ-DT-02, BWH-HQ-LT-07, BWH-HQ-LT-10 (handled by Y. Kumar) — 1.0h of tech effort</w:t>
      </w:r>
    </w:p>
    <w:p>
      <w:pPr>
        <w:pStyle w:val="ListBullet"/>
        <w:spacing w:after="80"/>
      </w:pPr>
      <w:r>
        <w:rPr>
          <w:rFonts w:ascii="Open Sans" w:hAnsi="Open Sans"/>
          <w:b w:val="0"/>
          <w:i w:val="0"/>
          <w:color w:val="59595B"/>
          <w:sz w:val="22"/>
        </w:rPr>
        <w:t>Crowdstrike latest version (7.35.20709.0) updated on machine:- BWH-HQ-CONF-01, BWH-HQ-DT-01, BWH-HQ-DT-02, BWH-HQ-DT-03, BWH-HQ-DT-05 (handled by A. Saraf) — 1.0h of tech effort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MasqueradeSysFile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BWH-HQ-LT-14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Construction / Homebuilding. Based on that classification, the data Technijian's stack is helping protect is most likely characterized as: PII (employees, customers).</w:t>
      </w:r>
    </w:p>
    <w:p>
      <w:pPr>
        <w:spacing w:after="160"/>
      </w:pPr>
      <w:r>
        <w:rPr>
          <w:rFonts w:ascii="Open Sans" w:hAnsi="Open Sans"/>
          <w:b w:val="0"/>
          <w:i w:val="0"/>
          <w:color w:val="59595B"/>
          <w:sz w:val="21"/>
        </w:rPr>
        <w:t>Construction firms typically have minimal regulatory compliance obligations beyond general business privacy law (CCPA for California-resident data, OSHA for safety records). Government contracts (DoD, DOE) bring CMMC or NIST 800-171 into scope when applicable.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