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Brandywine Homes</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Brandywine Homes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54</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48</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29 endpoint(s) with Microsoft Defender or firewall in a non-protected state; 4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 for Workstations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2019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2012 R2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Protected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48 of 54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Huntress Agent updated with  Version V0.14.132 on BWH-HQ-VONE,BWH-HQ-DT-01,DC03,BWH-HQ-LT-10 (handled by R. Uniyal) — 1.0h of tech effort</w:t>
      </w:r>
    </w:p>
    <w:p>
      <w:pPr>
        <w:pStyle w:val="ListBullet"/>
        <w:spacing w:after="80"/>
      </w:pPr>
      <w:r>
        <w:rPr>
          <w:rFonts w:ascii="Open Sans" w:hAnsi="Open Sans"/>
          <w:b w:val="0"/>
          <w:i w:val="0"/>
          <w:color w:val="59595B"/>
          <w:sz w:val="22"/>
        </w:rPr>
        <w:t>Dynamic Group Creation &amp; Huntress Learner Sync Configuration for BWH (handled by G. Kumar) — 0.8h of tech effort</w:t>
      </w:r>
    </w:p>
    <w:p>
      <w:pPr>
        <w:pStyle w:val="ListBullet"/>
        <w:spacing w:after="80"/>
      </w:pPr>
      <w:r>
        <w:rPr>
          <w:rFonts w:ascii="Open Sans" w:hAnsi="Open Sans"/>
          <w:b w:val="0"/>
          <w:i w:val="0"/>
          <w:color w:val="59595B"/>
          <w:sz w:val="22"/>
        </w:rPr>
        <w:t>Setup Huntress SAT for phishing and training (handled by A. Bhardwaj) — 1.5h of tech effort</w:t>
      </w:r>
    </w:p>
    <w:p>
      <w:pPr>
        <w:pStyle w:val="ListBullet"/>
        <w:spacing w:after="80"/>
      </w:pPr>
      <w:r>
        <w:rPr>
          <w:rFonts w:ascii="Open Sans" w:hAnsi="Open Sans"/>
          <w:b w:val="0"/>
          <w:i w:val="0"/>
          <w:color w:val="59595B"/>
          <w:sz w:val="22"/>
        </w:rPr>
        <w:t>Huntress Agent updated with  Version V0.14.132 on BWWS-CONF2,BWWS030-PC,BWWS029-PC (handled by S. Sharma) — 0.7h of tech effort</w:t>
      </w:r>
    </w:p>
    <w:p>
      <w:pPr>
        <w:pStyle w:val="ListBullet"/>
        <w:spacing w:after="80"/>
      </w:pPr>
      <w:r>
        <w:rPr>
          <w:rFonts w:ascii="Open Sans" w:hAnsi="Open Sans"/>
          <w:b w:val="0"/>
          <w:i w:val="0"/>
          <w:color w:val="59595B"/>
          <w:sz w:val="22"/>
        </w:rPr>
        <w:t>Login to the Huntress portal and check policies and Security settings (handled by R. Uniyal) — 0.8h of tech effort</w:t>
      </w:r>
    </w:p>
    <w:p>
      <w:pPr>
        <w:pStyle w:val="ListBullet"/>
        <w:spacing w:after="80"/>
      </w:pPr>
      <w:r>
        <w:rPr>
          <w:rFonts w:ascii="Open Sans" w:hAnsi="Open Sans"/>
          <w:b w:val="0"/>
          <w:i w:val="0"/>
          <w:color w:val="59595B"/>
          <w:sz w:val="22"/>
        </w:rPr>
        <w:t>Huntress Agent updated with Version V0.14.132 on BWH-HQ-IIS-01, BWH-HQ-RDP-01, BWH-HQ-WINEDGE, DC03 (handled by G. Kumar) — 0.5h of tech effort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BWWS-Conf2</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BWH-HQ-LT-25</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2026-03-04</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BrandywineMyle</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img-re1</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2025-12-15</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TABLET-AB7MOH3D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BWWS-Conf2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BWWS017-PC</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Protected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BWH-HQ-LT-13</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BrandywineMyle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TABLET-KLFSQ9HN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DC04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BWH-HQ-VBR-01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BWH-HQ-IIS-01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BWH-HQ-VONE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DC03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BWH-HQ-APP-01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RG01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BWH-HQ-SQL-01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BWH-HQ-OPSPRB-01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BWH-HQ-RDP-01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BWH-HQ-LT-26</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BWWS029-PC</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BWLAP-15</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Construction / Homebuilding. Based on that classification, the data Technijian's stack is helping protect is most likely characterized as: PII (employees, customers).</w:t>
      </w:r>
    </w:p>
    <w:p>
      <w:pPr>
        <w:spacing w:after="160"/>
      </w:pPr>
      <w:r>
        <w:rPr>
          <w:rFonts w:ascii="Open Sans" w:hAnsi="Open Sans"/>
          <w:b w:val="0"/>
          <w:i w:val="0"/>
          <w:color w:val="59595B"/>
          <w:sz w:val="21"/>
        </w:rPr>
        <w:t>Construction firms typically have minimal regulatory compliance obligations beyond general business privacy law (CCPA for California-resident data, OSHA for safety records). Government contracts (DoD, DOE) bring CMMC or NIST 800-171 into scope when applicable.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