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Enterprise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Enterprise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Dynamic Group Creation &amp; Huntress Learner Sync Configuration for CBI (handled by G. Kumar) — 0.8h of tech effort</w:t>
      </w:r>
    </w:p>
    <w:p>
      <w:pPr>
        <w:pStyle w:val="ListBullet"/>
        <w:spacing w:after="80"/>
      </w:pPr>
      <w:r>
        <w:rPr>
          <w:rFonts w:ascii="Open Sans" w:hAnsi="Open Sans"/>
          <w:b w:val="0"/>
          <w:i w:val="0"/>
          <w:color w:val="59595B"/>
          <w:sz w:val="22"/>
        </w:rPr>
        <w:t>Huntress Agent updated with  Version V0.14.132 on CBILT06,CBILT09,CBILT10 (handled by A. Saraf) — 1.0h of tech effort</w:t>
      </w:r>
    </w:p>
    <w:p>
      <w:pPr>
        <w:pStyle w:val="ListBullet"/>
        <w:spacing w:after="80"/>
      </w:pPr>
      <w:r>
        <w:rPr>
          <w:rFonts w:ascii="Open Sans" w:hAnsi="Open Sans"/>
          <w:b w:val="0"/>
          <w:i w:val="0"/>
          <w:color w:val="59595B"/>
          <w:sz w:val="22"/>
        </w:rPr>
        <w:t>Huntress Agent updated with  Version V0.14.132 on CBILT06,CBILT09,CBILT10 — 1.0h on 2026-02-17</w:t>
      </w:r>
    </w:p>
    <w:p>
      <w:pPr>
        <w:pStyle w:val="ListBullet"/>
        <w:spacing w:after="80"/>
      </w:pPr>
      <w:r>
        <w:rPr>
          <w:rFonts w:ascii="Open Sans" w:hAnsi="Open Sans"/>
          <w:b w:val="0"/>
          <w:i w:val="0"/>
          <w:color w:val="59595B"/>
          <w:sz w:val="22"/>
        </w:rPr>
        <w:t>Dynamic Group Creation &amp; Huntress Learner Sync Configuration for CBI — 0.8h on 2026-02-23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 MacBook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