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CBL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7 patches across 2 CBL endpoints — 7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CBL's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MyTask200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Deplooyment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02:00 – 05:00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CLBShedPC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CLBLenova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5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AcrobatDCx64Upd2600121367.msp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NVIDIA_app_v11.0.7.237.exe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April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April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April 2026, Technijian has deployed 38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7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4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02:00-05:00 on Sun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CLBShedPC : Manually patch update as APD missed the patch (handled by S. Kumar Sharma) — 0.6h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CLBShedPC has Missing patch while last run (handled by R. Uniyal) — 0.4h of tech effort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Financial Services. Based on that classification, the data Technijian's stack is helping protect is most likely characterized as: NPI / PCI.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Financial-services clients handle non-public personal information (NPI) and payment data. GLBA Safeguards Rule requires a written information-security program. SOC 2 Type II is increasingly the de-facto standard for vendor diligence. PCI DSS applies wherever cards are accepted (including custodial fee processing).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SOC 2: </w:t>
      </w:r>
      <w:r>
        <w:rPr>
          <w:rFonts w:ascii="Open Sans" w:hAnsi="Open Sans"/>
          <w:b w:val="0"/>
          <w:i w:val="0"/>
          <w:color w:val="59595B"/>
          <w:sz w:val="22"/>
        </w:rPr>
        <w:t>continuous monitoring, change tracking, patch evidence, and incident logs are produced monthly so SOC 2 Type II auditors can sample directly from the artifacts Technijian already generates.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GLBA: </w:t>
      </w:r>
      <w:r>
        <w:rPr>
          <w:rFonts w:ascii="Open Sans" w:hAnsi="Open Sans"/>
          <w:b w:val="0"/>
          <w:i w:val="0"/>
          <w:color w:val="59595B"/>
          <w:sz w:val="22"/>
        </w:rPr>
        <w:t>endpoint protection plus role-based access enforcement help satisfy the GLBA Safeguards Rule's information-security program requirements (16 CFR §314).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'CBL'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