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V0.14.146 on CCC-DC-AD-01, CCC-DC-SQL-02, CCC-DC-TSVDI-01 (handled by A. Saraf) — 0.8h of tech effort</w:t>
      </w:r>
    </w:p>
    <w:p>
      <w:pPr>
        <w:pStyle w:val="ListBullet"/>
        <w:spacing w:after="80"/>
      </w:pPr>
      <w:r>
        <w:rPr>
          <w:rFonts w:ascii="Open Sans" w:hAnsi="Open Sans"/>
          <w:b w:val="0"/>
          <w:i w:val="0"/>
          <w:color w:val="59595B"/>
          <w:sz w:val="22"/>
        </w:rPr>
        <w:t>Huntress Agent updated with  Version V0.14.146 on CCC-DC-AD-01, CCC-DC-SQL-02, CCC-DC-TSVDI-01 — 0.8h on 2026-03-17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