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528"/>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528"/>
            <w:tcBorders>
              <w:top w:val="nil"/>
              <w:left w:val="nil"/>
              <w:bottom w:val="nil"/>
              <w:right w:val="nil"/>
              <w:insideH w:val="nil"/>
              <w:insideV w:val="nil"/>
            </w:tcBorders>
          </w:tcPr>
          <w:p/>
        </w:tc>
      </w:tr>
    </w:tbl>
    <w:p/>
    <w:p>
      <w:pPr>
        <w:jc w:val="center"/>
      </w:pPr>
      <w:r>
        <w:rPr>
          <w:rFonts w:ascii="Open Sans" w:hAnsi="Open Sans"/>
          <w:b/>
          <w:i w:val="0"/>
          <w:color w:val="1A1A2E"/>
          <w:sz w:val="56"/>
        </w:rPr>
        <w:t>Cybersecurity Activity Report</w:t>
      </w:r>
    </w:p>
    <w:p>
      <w:pPr>
        <w:spacing w:after="120"/>
        <w:jc w:val="center"/>
      </w:pPr>
      <w:r>
        <w:rPr>
          <w:rFonts w:ascii="Open Sans" w:hAnsi="Open Sans"/>
          <w:b w:val="0"/>
          <w:i w:val="0"/>
          <w:color w:val="59595B"/>
          <w:sz w:val="32"/>
        </w:rPr>
        <w:t>Culp Construction Company</w:t>
      </w:r>
    </w:p>
    <w:p>
      <w:pPr>
        <w:jc w:val="center"/>
      </w:pPr>
      <w:r>
        <w:rPr>
          <w:rFonts w:ascii="Open Sans" w:hAnsi="Open Sans"/>
          <w:b w:val="0"/>
          <w:i w:val="0"/>
          <w:color w:val="59595B"/>
          <w:sz w:val="24"/>
        </w:rPr>
        <w:t>April 2026</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prepared by Technijian for the named client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p>
      <w:pPr>
        <w:spacing w:after="160"/>
      </w:pPr>
      <w:r>
        <w:rPr>
          <w:rFonts w:ascii="Open Sans" w:hAnsi="Open Sans"/>
          <w:b w:val="0"/>
          <w:i w:val="0"/>
          <w:color w:val="59595B"/>
          <w:sz w:val="22"/>
        </w:rPr>
        <w:t>This report summarizes the cybersecurity activity Technijian delivered for Culp Construction Company during April 2026. The Huntress managed detection and response (MDR) platform monitored your endpoints 24x7 and Technijian's security operations team reviewed every alert that fired. Below is a plain-English summary of what we saw, what we did about it, and where you stand today.</w:t>
      </w:r>
    </w:p>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6</w:t>
            </w:r>
          </w:p>
          <w:p>
            <w:pPr>
              <w:spacing w:before="0" w:after="240"/>
              <w:jc w:val="center"/>
            </w:pPr>
            <w:r>
              <w:rPr>
                <w:rFonts w:ascii="Open Sans" w:hAnsi="Open Sans"/>
                <w:b w:val="0"/>
                <w:i w:val="0"/>
                <w:color w:val="59595B"/>
                <w:sz w:val="20"/>
              </w:rPr>
              <w:t>Endpoints Protected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5</w:t>
            </w:r>
          </w:p>
          <w:p>
            <w:pPr>
              <w:spacing w:before="0" w:after="240"/>
              <w:jc w:val="center"/>
            </w:pPr>
            <w:r>
              <w:rPr>
                <w:rFonts w:ascii="Open Sans" w:hAnsi="Open Sans"/>
                <w:b w:val="0"/>
                <w:i w:val="0"/>
                <w:color w:val="59595B"/>
                <w:sz w:val="20"/>
              </w:rPr>
              <w:t>Active in Last 7 Days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0</w:t>
            </w:r>
          </w:p>
          <w:p>
            <w:pPr>
              <w:spacing w:before="0" w:after="240"/>
              <w:jc w:val="center"/>
            </w:pPr>
            <w:r>
              <w:rPr>
                <w:rFonts w:ascii="Open Sans" w:hAnsi="Open Sans"/>
                <w:b w:val="0"/>
                <w:i w:val="0"/>
                <w:color w:val="59595B"/>
                <w:sz w:val="20"/>
              </w:rPr>
              <w:t>Incidents Investigated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0</w:t>
            </w:r>
          </w:p>
          <w:p>
            <w:pPr>
              <w:spacing w:before="0" w:after="240"/>
              <w:jc w:val="center"/>
            </w:pPr>
            <w:r>
              <w:rPr>
                <w:rFonts w:ascii="Open Sans" w:hAnsi="Open Sans"/>
                <w:b w:val="0"/>
                <w:i w:val="0"/>
                <w:color w:val="59595B"/>
                <w:sz w:val="20"/>
              </w:rPr>
              <w:t>Signals Reviewed</w:t>
            </w:r>
          </w:p>
        </w:tc>
      </w:tr>
    </w:tbl>
    <w:tbl>
      <w:tblPr>
        <w:tblW w:type="auto" w:w="0"/>
        <w:tblLook w:firstColumn="1" w:firstRow="1" w:lastColumn="0" w:lastRow="0" w:noHBand="0" w:noVBand="1" w:val="04A0"/>
      </w:tblPr>
      <w:tblGrid>
        <w:gridCol w:w="9360"/>
      </w:tblGrid>
      <w:tr>
        <w:tc>
          <w:tcPr>
            <w:tcW w:type="dxa" w:w="9360"/>
            <w:shd w:val="clear" w:color="auto" w:fill="FEF3EE"/>
            <w:tcBorders>
              <w:top w:val="single" w:sz="12" w:color="F67D4B"/>
              <w:left w:val="single" w:sz="12" w:color="F67D4B"/>
              <w:bottom w:val="single" w:sz="12" w:color="F67D4B"/>
              <w:right w:val="single" w:sz="12" w:color="F67D4B"/>
            </w:tcBorders>
          </w:tcPr>
          <w:p>
            <w:pPr>
              <w:spacing w:before="120" w:after="120"/>
            </w:pPr>
            <w:r>
              <w:rPr>
                <w:rFonts w:ascii="Open Sans" w:hAnsi="Open Sans"/>
                <w:b w:val="0"/>
                <w:i w:val="0"/>
                <w:color w:val="1A1A2E"/>
                <w:sz w:val="22"/>
              </w:rPr>
              <w:t>Attention items: 3 endpoint(s) with Microsoft Defender or firewall in a non-protected state. See Recommendations section below for the remediation list.</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Endpoint Protection</w:t>
            </w:r>
          </w:p>
        </w:tc>
      </w:tr>
    </w:tbl>
    <w:p>
      <w:pPr>
        <w:spacing w:after="160"/>
      </w:pPr>
      <w:r>
        <w:rPr>
          <w:rFonts w:ascii="Open Sans" w:hAnsi="Open Sans"/>
          <w:b w:val="0"/>
          <w:i w:val="0"/>
          <w:color w:val="59595B"/>
          <w:sz w:val="22"/>
        </w:rPr>
        <w:t>Every protected computer reports back to Huntress on a regular interval. The breakdown below shows which endpoints have been phoning home, how recently, and the state of their built-in defenses (Microsoft Defender + Windows Firewall).</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Metric</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Total endpoints under management</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Phoned home in the last 24 hours</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Phoned home in the last 7 days</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Stale (8 - 30 days since last check-in)</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Inactive (more than 30 days since last check-in)</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Never seen by the platform</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bl>
    <w:p/>
    <w:p>
      <w:pPr>
        <w:spacing w:after="160"/>
      </w:pPr>
      <w:r>
        <w:rPr>
          <w:rFonts w:ascii="Open Sans" w:hAnsi="Open Sans"/>
          <w:b/>
          <w:i w:val="0"/>
          <w:color w:val="1A1A2E"/>
          <w:sz w:val="24"/>
        </w:rPr>
        <w:t>Operating system distribution</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Operating System</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Server 2022 Standard</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10 Pro</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 Pro</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p/>
    <w:p>
      <w:pPr>
        <w:spacing w:after="160"/>
      </w:pPr>
      <w:r>
        <w:rPr>
          <w:rFonts w:ascii="Open Sans" w:hAnsi="Open Sans"/>
          <w:b/>
          <w:i w:val="0"/>
          <w:color w:val="1A1A2E"/>
          <w:sz w:val="24"/>
        </w:rPr>
        <w:t>Microsoft Defender posture</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Status</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bl>
    <w:p/>
    <w:p>
      <w:pPr>
        <w:spacing w:after="160"/>
      </w:pPr>
      <w:r>
        <w:rPr>
          <w:rFonts w:ascii="Open Sans" w:hAnsi="Open Sans"/>
          <w:b/>
          <w:i w:val="0"/>
          <w:color w:val="1A1A2E"/>
          <w:sz w:val="24"/>
        </w:rPr>
        <w:t>Windows Firewall posture</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Firewall Status</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Enabled</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Disabled</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Threat Activity This Month</w:t>
            </w:r>
          </w:p>
        </w:tc>
      </w:tr>
    </w:tbl>
    <w:p>
      <w:pPr>
        <w:spacing w:after="160"/>
      </w:pPr>
      <w:r>
        <w:rPr>
          <w:rFonts w:ascii="Open Sans" w:hAnsi="Open Sans"/>
          <w:b w:val="0"/>
          <w:i w:val="0"/>
          <w:color w:val="59595B"/>
          <w:sz w:val="22"/>
        </w:rPr>
        <w:t>No incident reports or active signals were raised against your environment during April 2026. Continuous monitoring stayed in place the entire period — a quiet month means our platform did not detect actor activity that needed a response.</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pStyle w:val="ListBullet"/>
        <w:spacing w:after="80"/>
      </w:pPr>
      <w:r>
        <w:rPr>
          <w:rFonts w:ascii="Open Sans" w:hAnsi="Open Sans"/>
          <w:b/>
          <w:i w:val="0"/>
          <w:color w:val="1A1A2E"/>
          <w:sz w:val="22"/>
        </w:rPr>
        <w:t xml:space="preserve">Continuous monitoring. </w:t>
      </w:r>
      <w:r>
        <w:rPr>
          <w:rFonts w:ascii="Open Sans" w:hAnsi="Open Sans"/>
          <w:b w:val="0"/>
          <w:i w:val="0"/>
          <w:color w:val="59595B"/>
          <w:sz w:val="22"/>
        </w:rPr>
        <w:t>Every endpoint was monitored 24x7 by the Huntress sensor. 5 of 6 agent(s) reported in within the last 7 days.</w:t>
      </w:r>
    </w:p>
    <w:p>
      <w:pPr>
        <w:pStyle w:val="ListBullet"/>
        <w:spacing w:after="80"/>
      </w:pPr>
      <w:r>
        <w:rPr>
          <w:rFonts w:ascii="Open Sans" w:hAnsi="Open Sans"/>
          <w:b/>
          <w:i w:val="0"/>
          <w:color w:val="1A1A2E"/>
          <w:sz w:val="22"/>
        </w:rPr>
        <w:t xml:space="preserve">Alert review. </w:t>
      </w:r>
      <w:r>
        <w:rPr>
          <w:rFonts w:ascii="Open Sans" w:hAnsi="Open Sans"/>
          <w:b w:val="0"/>
          <w:i w:val="0"/>
          <w:color w:val="59595B"/>
          <w:sz w:val="22"/>
        </w:rPr>
        <w:t>Our security operations team triaged 0 signal(s) and actioned 0 incident report(s) raised this month.</w:t>
      </w:r>
    </w:p>
    <w:p>
      <w:pPr>
        <w:pStyle w:val="ListBullet"/>
        <w:spacing w:after="80"/>
      </w:pPr>
      <w:r>
        <w:rPr>
          <w:rFonts w:ascii="Open Sans" w:hAnsi="Open Sans"/>
          <w:b/>
          <w:i w:val="0"/>
          <w:color w:val="1A1A2E"/>
          <w:sz w:val="22"/>
        </w:rPr>
        <w:t xml:space="preserve">Reports &amp; posture review. </w:t>
      </w:r>
      <w:r>
        <w:rPr>
          <w:rFonts w:ascii="Open Sans" w:hAnsi="Open Sans"/>
          <w:b w:val="0"/>
          <w:i w:val="0"/>
          <w:color w:val="59595B"/>
          <w:sz w:val="22"/>
        </w:rPr>
        <w:t>4 platform-generated security report(s) overlapped this month and were reviewed for trends and emerging risks.</w:t>
      </w:r>
    </w:p>
    <w:p>
      <w:pPr>
        <w:pStyle w:val="ListBullet"/>
        <w:spacing w:after="80"/>
      </w:pPr>
      <w:r>
        <w:rPr>
          <w:rFonts w:ascii="Open Sans" w:hAnsi="Open Sans"/>
          <w:b/>
          <w:i w:val="0"/>
          <w:color w:val="1A1A2E"/>
          <w:sz w:val="22"/>
        </w:rPr>
        <w:t xml:space="preserve">Posture data captured. </w:t>
      </w:r>
      <w:r>
        <w:rPr>
          <w:rFonts w:ascii="Open Sans" w:hAnsi="Open Sans"/>
          <w:b w:val="0"/>
          <w:i w:val="0"/>
          <w:color w:val="59595B"/>
          <w:sz w:val="22"/>
        </w:rPr>
        <w:t>Microsoft Defender state, Windows Firewall state, agent version, and last-callback timestamp were captured for every endpoint to drive remediation discussions.</w:t>
      </w:r>
    </w:p>
    <w:p>
      <w:pPr>
        <w:spacing w:after="160"/>
      </w:pPr>
      <w:r>
        <w:rPr>
          <w:rFonts w:ascii="Open Sans" w:hAnsi="Open Sans"/>
          <w:b/>
          <w:i w:val="0"/>
          <w:color w:val="1A1A2E"/>
          <w:sz w:val="24"/>
        </w:rPr>
        <w:t>Specific work delivered this month</w:t>
      </w:r>
    </w:p>
    <w:p>
      <w:pPr>
        <w:spacing w:after="160"/>
      </w:pPr>
      <w:r>
        <w:rPr>
          <w:rFonts w:ascii="Open Sans" w:hAnsi="Open Sans"/>
          <w:b w:val="0"/>
          <w:i w:val="0"/>
          <w:color w:val="59595B"/>
          <w:sz w:val="22"/>
        </w:rPr>
        <w:t>These items are pulled directly from the time entries and tickets logged by Technijian's team during the period — actual work, not estimates.</w:t>
      </w:r>
    </w:p>
    <w:p>
      <w:pPr>
        <w:pStyle w:val="ListBullet"/>
        <w:spacing w:after="80"/>
      </w:pPr>
      <w:r>
        <w:rPr>
          <w:rFonts w:ascii="Open Sans" w:hAnsi="Open Sans"/>
          <w:b w:val="0"/>
          <w:i w:val="0"/>
          <w:color w:val="59595B"/>
          <w:sz w:val="22"/>
        </w:rPr>
        <w:t>Huntress Agent updated with Version 0.14.162 on CCC-DC-AD-01, CCC-DC-SQL-02, CCC-DC-TSVDI-01 (handled by A. Saraf) — 0.8h of tech effort</w:t>
      </w:r>
    </w:p>
    <w:p>
      <w:pPr>
        <w:pStyle w:val="ListBullet"/>
        <w:spacing w:after="80"/>
      </w:pPr>
      <w:r>
        <w:rPr>
          <w:rFonts w:ascii="Open Sans" w:hAnsi="Open Sans"/>
          <w:b w:val="0"/>
          <w:i w:val="0"/>
          <w:color w:val="59595B"/>
          <w:sz w:val="22"/>
        </w:rPr>
        <w:t>Huntress Agent updated with  Version V0.14.150 on CCC-DC-AD-01, CCC-DC-SQL-02, CCC-DC-TSVDI-01 (handled by A. Saraf) — 0.8h of tech effort</w:t>
      </w:r>
    </w:p>
    <w:p>
      <w:pPr>
        <w:pStyle w:val="ListBullet"/>
        <w:spacing w:after="80"/>
      </w:pPr>
      <w:r>
        <w:rPr>
          <w:rFonts w:ascii="Open Sans" w:hAnsi="Open Sans"/>
          <w:b w:val="0"/>
          <w:i w:val="0"/>
          <w:color w:val="59595B"/>
          <w:sz w:val="22"/>
        </w:rPr>
        <w:t>Huntress Agent updated with  Version V0.14.150 on CCC-DC-AD-01, CCC-DC-SQL-02, CCC-DC-TSVDI-01 — 0.8h on 2026-04-08</w:t>
      </w:r>
    </w:p>
    <w:p>
      <w:pPr>
        <w:pStyle w:val="ListBullet"/>
        <w:spacing w:after="80"/>
      </w:pPr>
      <w:r>
        <w:rPr>
          <w:rFonts w:ascii="Open Sans" w:hAnsi="Open Sans"/>
          <w:b w:val="0"/>
          <w:i w:val="0"/>
          <w:color w:val="59595B"/>
          <w:sz w:val="22"/>
        </w:rPr>
        <w:t>Huntress Agent updated with Version 0.14.162 on CCC-DC-AD-01, CCC-DC-SQL-02, CCC-DC-TSVDI-01 — 0.8h on 2026-04-21</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Industry News &amp; Vendor Innovations</w:t>
            </w:r>
          </w:p>
        </w:tc>
      </w:tr>
    </w:tbl>
    <w:p>
      <w:pPr>
        <w:spacing w:after="160"/>
      </w:pPr>
      <w:r>
        <w:rPr>
          <w:rFonts w:ascii="Open Sans" w:hAnsi="Open Sans"/>
          <w:b w:val="0"/>
          <w:i w:val="0"/>
          <w:color w:val="59595B"/>
          <w:sz w:val="22"/>
        </w:rPr>
        <w:t>Huntress announced no major platform changes this month. Routine detection-content updates and sensor improvements continued to roll out automatically. Technijian tracks Huntress's release notes monthly so future updates land in this section as they're published.</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
      <w:pPr>
        <w:spacing w:after="160"/>
      </w:pPr>
      <w:r>
        <w:rPr>
          <w:rFonts w:ascii="Open Sans" w:hAnsi="Open Sans"/>
          <w:b/>
          <w:i w:val="0"/>
          <w:color w:val="1A1A2E"/>
          <w:sz w:val="24"/>
        </w:rPr>
        <w:t>Endpoints with Defender or firewall issues</w:t>
      </w:r>
    </w:p>
    <w:tbl>
      <w:tblPr>
        <w:tblW w:type="auto" w:w="0"/>
        <w:tblLayout w:type="fixed"/>
        <w:tblLook w:firstColumn="1" w:firstRow="1" w:lastColumn="0" w:lastRow="0" w:noHBand="0" w:noVBand="1" w:val="04A0"/>
      </w:tblPr>
      <w:tblGrid>
        <w:gridCol w:w="2340"/>
        <w:gridCol w:w="2340"/>
        <w:gridCol w:w="2340"/>
        <w:gridCol w:w="2340"/>
      </w:tblGrid>
      <w:tr>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Hostname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Status</w:t>
            </w:r>
          </w:p>
        </w:tc>
        <w:tc>
          <w:tcPr>
            <w:tcW w:type="dxa" w:w="244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Policy</w:t>
            </w:r>
          </w:p>
        </w:tc>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Firewall</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CCC-DC-AD-01</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CCC-DC-SQL-02</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CCC-DC-TSVDI-01</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Enabled</w:t>
            </w:r>
          </w:p>
        </w:tc>
      </w:tr>
    </w:tbl>
    <w:p>
      <w:pPr>
        <w:spacing w:after="160"/>
      </w:pPr>
      <w:r>
        <w:rPr>
          <w:rFonts w:ascii="Open Sans" w:hAnsi="Open Sans"/>
          <w:b w:val="0"/>
          <w:i w:val="0"/>
          <w:color w:val="59595B"/>
          <w:sz w:val="22"/>
        </w:rPr>
        <w:t>Email support@technijian.com to review the listed endpoints with our team and schedule remediation. Common fixes include re-enabling Microsoft Defender, applying a missing Group Policy / Intune setting, or re-enabling Windows Firewall.</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Compliance Alignment</w:t>
            </w:r>
          </w:p>
        </w:tc>
      </w:tr>
    </w:tbl>
    <w:p>
      <w:pPr>
        <w:spacing w:after="160"/>
      </w:pPr>
      <w:r>
        <w:rPr>
          <w:rFonts w:ascii="Open Sans" w:hAnsi="Open Sans"/>
          <w:b w:val="0"/>
          <w:i w:val="0"/>
          <w:color w:val="59595B"/>
          <w:sz w:val="22"/>
        </w:rPr>
        <w:t>This client's industry classification is Construction / Homebuilding. Based on that classification, the data Technijian's stack is helping protect is most likely characterized as: PII (employees, customers).</w:t>
      </w:r>
    </w:p>
    <w:p>
      <w:pPr>
        <w:spacing w:after="160"/>
      </w:pPr>
      <w:r>
        <w:rPr>
          <w:rFonts w:ascii="Open Sans" w:hAnsi="Open Sans"/>
          <w:b w:val="0"/>
          <w:i w:val="0"/>
          <w:color w:val="59595B"/>
          <w:sz w:val="21"/>
        </w:rPr>
        <w:t>Construction firms typically have minimal regulatory compliance obligations beyond general business privacy law (CCPA for California-resident data, OSHA for safety records). Government contracts (DoD, DOE) bring CMMC or NIST 800-171 into scope when applicable.</w:t>
      </w:r>
    </w:p>
    <w:p>
      <w:pPr>
        <w:spacing w:after="160"/>
      </w:pPr>
      <w:r>
        <w:rPr>
          <w:rFonts w:ascii="Open Sans" w:hAnsi="Open Sans"/>
          <w:b/>
          <w:i w:val="0"/>
          <w:color w:val="1A1A2E"/>
          <w:sz w:val="22"/>
        </w:rPr>
        <w:t>How Technijian's monitoring stack supports each framework:</w:t>
      </w:r>
    </w:p>
    <w:p>
      <w:pPr>
        <w:pStyle w:val="ListBullet"/>
        <w:spacing w:after="80"/>
      </w:pPr>
      <w:r>
        <w:rPr>
          <w:rFonts w:ascii="Open Sans" w:hAnsi="Open Sans"/>
          <w:b/>
          <w:i w:val="0"/>
          <w:color w:val="1A1A2E"/>
          <w:sz w:val="22"/>
        </w:rPr>
        <w:t xml:space="preserve">California CCPA: </w:t>
      </w:r>
      <w:r>
        <w:rPr>
          <w:rFonts w:ascii="Open Sans" w:hAnsi="Open Sans"/>
          <w:b w:val="0"/>
          <w:i w:val="0"/>
          <w:color w:val="59595B"/>
          <w:sz w:val="22"/>
        </w:rPr>
        <w:t>breach-detection and incident-response capabilities support CCPA §1798.150 reasonable-security obligations and the 72-hour notification window for incidents involving California-resident PII.</w:t>
      </w:r>
    </w:p>
    <w:p>
      <w:pPr>
        <w:spacing w:after="160"/>
      </w:pPr>
      <w:r>
        <w:rPr>
          <w:rFonts w:ascii="Open Sans" w:hAnsi="Open Sans"/>
          <w:b w:val="0"/>
          <w:i w:val="0"/>
          <w:color w:val="59595B"/>
          <w:sz w:val="19"/>
        </w:rPr>
        <w:t>This classification was generated automatically from the client's name and contact-domain signals. If the industry or compliance scope shown here doesn't match your operations, please reply to this report and we'll update the classification — Technijian's team can also produce a deeper compliance-posture report on request.</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How This Protection Works</w:t>
            </w:r>
          </w:p>
        </w:tc>
      </w:tr>
    </w:tbl>
    <w:p>
      <w:pPr>
        <w:spacing w:after="160"/>
      </w:pPr>
      <w:r>
        <w:rPr>
          <w:rFonts w:ascii="Open Sans" w:hAnsi="Open Sans"/>
          <w:b w:val="0"/>
          <w:i w:val="0"/>
          <w:color w:val="59595B"/>
          <w:sz w:val="22"/>
        </w:rPr>
        <w:t>Your endpoints are protected by a layered security stack — Huntress and CrowdStrike Falcon working alongside each other — chosen and managed by Technijian as an MSP best-practice configuration. Here's what each piece does and why we run both.</w:t>
      </w:r>
    </w:p>
    <w:p>
      <w:pPr>
        <w:spacing w:after="160"/>
      </w:pPr>
      <w:r>
        <w:rPr>
          <w:rFonts w:ascii="Open Sans" w:hAnsi="Open Sans"/>
          <w:b/>
          <w:i w:val="0"/>
          <w:color w:val="1A1A2E"/>
          <w:sz w:val="24"/>
        </w:rPr>
        <w:t>Huntress: managed detection &amp; response with a 24×7 SOC</w:t>
      </w:r>
    </w:p>
    <w:p>
      <w:pPr>
        <w:spacing w:after="160"/>
      </w:pPr>
      <w:r>
        <w:rPr>
          <w:rFonts w:ascii="Open Sans" w:hAnsi="Open Sans"/>
          <w:b w:val="0"/>
          <w:i w:val="0"/>
          <w:color w:val="59595B"/>
          <w:sz w:val="22"/>
        </w:rPr>
        <w:t>Huntress runs its own Security Operations Center staffed with threat hunters who review every signal that fires on your endpoints around the clock — not just nights and weekends, but 24×7×365. When the Huntress agent flags suspicious behavior (persistence mechanisms, process injection, credential abuse, known-bad files), the activity is examined by Huntress threat hunters BEFORE it ever reaches Technijian. False positives are filtered out at the source so that what does reach our team is signal, not noise. When Huntress sees something that needs attention, they coordinate response with Technijian and provide guided remediation playbooks.</w:t>
      </w:r>
    </w:p>
    <w:p>
      <w:pPr>
        <w:spacing w:after="160"/>
      </w:pPr>
      <w:r>
        <w:rPr>
          <w:rFonts w:ascii="Open Sans" w:hAnsi="Open Sans"/>
          <w:b/>
          <w:i w:val="0"/>
          <w:color w:val="1A1A2E"/>
          <w:sz w:val="24"/>
        </w:rPr>
        <w:t>CrowdStrike Falcon: AI-driven EDR with the Falcon Overwatch SOC</w:t>
      </w:r>
    </w:p>
    <w:p>
      <w:pPr>
        <w:spacing w:after="160"/>
      </w:pPr>
      <w:r>
        <w:rPr>
          <w:rFonts w:ascii="Open Sans" w:hAnsi="Open Sans"/>
          <w:b w:val="0"/>
          <w:i w:val="0"/>
          <w:color w:val="59595B"/>
          <w:sz w:val="22"/>
        </w:rPr>
        <w:t>CrowdStrike Falcon is the EDR (Endpoint Detection and Response) layer. Falcon's behavioral AI inspects every process, network connection, and file operation on your endpoints in real time and stops identified threats before they can execute. On top of the AI, CrowdStrike's Falcon Overwatch managed-threat-hunting team — the same elite NOC that protects Fortune 500s and government agencies — watches your environment 24×7 looking for the kind of slow, low-and-slow adversary tradecraft that automated detection alone can miss. Overwatch hunters reach out directly when they see something that needs immediate action.</w:t>
      </w:r>
    </w:p>
    <w:p>
      <w:pPr>
        <w:spacing w:after="160"/>
      </w:pPr>
      <w:r>
        <w:rPr>
          <w:rFonts w:ascii="Open Sans" w:hAnsi="Open Sans"/>
          <w:b/>
          <w:i w:val="0"/>
          <w:color w:val="1A1A2E"/>
          <w:sz w:val="24"/>
        </w:rPr>
        <w:t>Why both? Defense in depth.</w:t>
      </w:r>
    </w:p>
    <w:p>
      <w:pPr>
        <w:spacing w:after="160"/>
      </w:pPr>
      <w:r>
        <w:rPr>
          <w:rFonts w:ascii="Open Sans" w:hAnsi="Open Sans"/>
          <w:b w:val="0"/>
          <w:i w:val="0"/>
          <w:color w:val="59595B"/>
          <w:sz w:val="22"/>
        </w:rPr>
        <w:t>Huntress and CrowdStrike are deliberately complementary. Huntress is tuned for the SMB and mid-market threat landscape — phishing-driven footholds, persistence tradecraft, credential theft, and the kinds of attacks that target managed-service customers. CrowdStrike's Falcon is industry-leading nation-state-grade EDR with the broadest telemetry collection and the most mature threat-intel feed in the market. They use different detection styles, different telemetry sources, and different threat-intelligence pipelines.</w:t>
      </w:r>
    </w:p>
    <w:p>
      <w:pPr>
        <w:spacing w:after="160"/>
      </w:pPr>
      <w:r>
        <w:rPr>
          <w:rFonts w:ascii="Open Sans" w:hAnsi="Open Sans"/>
          <w:b w:val="0"/>
          <w:i w:val="0"/>
          <w:color w:val="59595B"/>
          <w:sz w:val="22"/>
        </w:rPr>
        <w:t>Running them together gives your endpoints two independent sets of expert eyes — Huntress's SOC and CrowdStrike's Overwatch team — both watching 24×7. If one platform misses something, the other is extremely likely to catch it. This redundant, layered approach is the configuration Technijian recommends as best-in-class endpoint protection for clients who can't afford a security incident.</w:t>
      </w:r>
    </w:p>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About This Report</w:t>
            </w:r>
          </w:p>
        </w:tc>
      </w:tr>
    </w:tbl>
    <w:p>
      <w:pPr>
        <w:spacing w:after="160"/>
      </w:pPr>
      <w:r>
        <w:rPr>
          <w:rFonts w:ascii="Open Sans" w:hAnsi="Open Sans"/>
          <w:b w:val="0"/>
          <w:i w:val="0"/>
          <w:color w:val="59595B"/>
          <w:sz w:val="20"/>
        </w:rPr>
        <w:t>Technijian provides 24x7 managed detection and response (MDR) on top of the Huntress security platform. Activity captured here reflects data pulled directly from the Huntress API for your tenant. Endpoint inventory is a point-in-time snapshot taken at report generation; incident, signal, and report data are filtered to the calendar month above.</w:t>
      </w:r>
    </w:p>
    <w:p>
      <w:pPr>
        <w:spacing w:after="160"/>
      </w:pPr>
      <w:r>
        <w:rPr>
          <w:rFonts w:ascii="Open Sans" w:hAnsi="Open Sans"/>
          <w:b w:val="0"/>
          <w:i w:val="0"/>
          <w:color w:val="59595B"/>
          <w:sz w:val="20"/>
        </w:rPr>
        <w:t>Technijian  |  18 Technology Dr., Ste 141, Irvine, CA 92618  |  949.379.8500  |  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