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17 patches across 3 CCC endpoints — 17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CCC's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CCC-DC-SQL-02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CCC-DC-TSVDI-01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10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microsoftedgeenterprise_146.0.3856.59_x64.msi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SQLServer2019-KB5077469-x64.exe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45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3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3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Device Non-Compliant Due to Missing Patche CCC-DC-TSVDI-01,CCC-DC-AD-01,CCC-DC-SQL-02 (handled by S. Kumar) — 0.8h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Device Non-Compliant Due to Missing Patche CCC-DC-TSVDI-01,CCC-DC-AD-01,CCC-DC-SQL-02 — 0.8h on 2026-03-22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Construction / Homebuilding. Based on that classification, the data Technijian's stack is helping protect is most likely characterized as: PII (employees, customers).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Construction firms typically have minimal regulatory compliance obligations beyond general business privacy law (CCPA for California-resident data, OSHA for safety records). Government contracts (DoD, DOE) bring CMMC or NIST 800-171 into scope when applicable.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'CCC'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