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January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(handled by A. Bhardwaj)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— 1.2h on 2026-01-04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CCC-DC-SQL-02 — 0.8h on 2026-01-14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CCC-DC-TSVDI-01 — 0.8h on 2026-01-20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CCC-DC-AD-01 — 0.8h on 2026-01-28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CCC-DC-SQL-02 — 0.8h on 2026-01-28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'CCC'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