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March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(handled by A. Saraf)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CCC-DC-SQL-02 — 0.8h on 2026-03-09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CCC-DC-AD-01 — 0.8h on 2026-03-13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CCC-DC-AD-01 — 0.8h on 2026-03-15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CCC-DC-TSVDI-01 — 0.7h on 2026-03-22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— 1.2h on 2026-03-28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'CCC'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