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3 virtual machine(s) and 1 datastore(s) for CCC during April 2026, with 3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3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April 2026, with 3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Upgrade VMWare tools - CCC-DC-AD-01, CCC-DC-SQL-02, CCC-DC-TSVDI-01 (handled by A. Bhardwaj, A. Saraf) — 2.8h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Snapshot consolidation required - CCC-DC-SQL-02 — 0.8h on 2026-04-04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Virtual Disk consolidation required - CCC-DC-AD-01 — 0.8h on 2026-04-07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Virtual Disk consolidation required - CCC-DC-TSVDI-01 — 0.8h on 2026-04-11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Upgrade VMWare tools - CCC-DC-AD-01, CCC-DC-SQL-02, CCC-DC-TSVDI-01 — 1.5h on 2026-04-16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Upgrade VMWare tools - CCC-DC-AD-01, CCC-DC-SQL-02, CCC-DC-TSVDI-01 — 1.2h on 2026-04-16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19:59 for client 'CCC'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