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CCC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22%</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87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CCC as of 2026-05-02. Total capacity is 2.0 TB with a projected runway of 87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87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'CCC'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