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Patch Management Activity</w:t>
      </w:r>
    </w:p>
    <w:p>
      <w:pPr>
        <w:spacing w:after="120"/>
        <w:jc w:val="center"/>
      </w:pPr>
      <w:r>
        <w:rPr>
          <w:rFonts w:ascii="Open Sans" w:hAnsi="Open Sans"/>
          <w:b w:val="0"/>
          <w:i w:val="0"/>
          <w:color w:val="59595B"/>
          <w:sz w:val="32"/>
        </w:rPr>
        <w:t>EBRMD — April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Machines patched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Critical 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Hands-on remediations</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There were no patches scheduled for deployment to EBRMD endpoints during April 2026. This is expected for months with light vendor release activity. The patch scanning and deployment infrastructure remained operational throughout the period; the next scheduled window will deploy any newly-released patches that apply to your fleet.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Patch Window</w:t>
            </w:r>
          </w:p>
        </w:tc>
      </w:tr>
    </w:tbl>
    <w:tbl>
      <w:tblPr>
        <w:tblW w:type="auto" w:w="0"/>
        <w:tblLook w:firstColumn="1" w:firstRow="1" w:lastColumn="0" w:lastRow="0" w:noHBand="0" w:noVBand="1" w:val="04A0"/>
      </w:tblPr>
      <w:tblGrid>
        <w:gridCol w:w="9360"/>
      </w:tblGrid>
      <w:tr>
        <w:tc>
          <w:tcPr>
            <w:tcW w:type="dxa" w:w="9360"/>
            <w:shd w:val="clear" w:color="auto" w:fill="E5F6FA"/>
            <w:tcBorders>
              <w:top w:val="single" w:sz="12" w:color="1EAAC8"/>
              <w:left w:val="single" w:sz="12" w:color="1EAAC8"/>
              <w:bottom w:val="single" w:sz="12" w:color="1EAAC8"/>
              <w:right w:val="single" w:sz="12" w:color="1EAAC8"/>
            </w:tcBorders>
          </w:tcPr>
          <w:p>
            <w:pPr>
              <w:spacing w:before="120" w:after="120"/>
            </w:pPr>
            <w:r>
              <w:rPr>
                <w:rFonts w:ascii="Open Sans" w:hAnsi="Open Sans"/>
                <w:b w:val="0"/>
                <w:i w:val="0"/>
                <w:color w:val="1A1A2E"/>
                <w:sz w:val="22"/>
              </w:rPr>
              <w:t>Patches for EBRMD are deployed on-demand by Technijian rather than on a recurring automated schedule. See the Automated Patch Deployments section for the patches applied this month.</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Per-Machine Summary</w:t>
            </w:r>
          </w:p>
        </w:tc>
      </w:tr>
    </w:tbl>
    <w:p>
      <w:pPr>
        <w:spacing w:after="160"/>
      </w:pPr>
      <w:r>
        <w:rPr>
          <w:rFonts w:ascii="Open Sans" w:hAnsi="Open Sans"/>
          <w:b w:val="0"/>
          <w:i w:val="0"/>
          <w:color w:val="59595B"/>
          <w:sz w:val="22"/>
        </w:rPr>
        <w:t>No machines received patch installs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Severity Breakdown</w:t>
            </w:r>
          </w:p>
        </w:tc>
      </w:tr>
    </w:tbl>
    <w:p>
      <w:pPr>
        <w:spacing w:after="160"/>
      </w:pPr>
      <w:r>
        <w:rPr>
          <w:rFonts w:ascii="Open Sans" w:hAnsi="Open Sans"/>
          <w:b w:val="0"/>
          <w:i w:val="0"/>
          <w:color w:val="59595B"/>
          <w:sz w:val="22"/>
        </w:rPr>
        <w:t>No installs to categorize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Vendor Breakdown</w:t>
            </w:r>
          </w:p>
        </w:tc>
      </w:tr>
    </w:tbl>
    <w:p>
      <w:pPr>
        <w:spacing w:after="160"/>
      </w:pPr>
      <w:r>
        <w:rPr>
          <w:rFonts w:ascii="Open Sans" w:hAnsi="Open Sans"/>
          <w:b w:val="0"/>
          <w:i w:val="0"/>
          <w:color w:val="59595B"/>
          <w:sz w:val="22"/>
        </w:rPr>
        <w:t>No installs to categorize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Automated Patch Deployments</w:t>
            </w:r>
          </w:p>
        </w:tc>
      </w:tr>
    </w:tbl>
    <w:p>
      <w:pPr>
        <w:spacing w:after="160"/>
      </w:pPr>
      <w:r>
        <w:rPr>
          <w:rFonts w:ascii="Open Sans" w:hAnsi="Open Sans"/>
          <w:b w:val="0"/>
          <w:i w:val="0"/>
          <w:color w:val="59595B"/>
          <w:sz w:val="22"/>
        </w:rPr>
        <w:t>No patches were released by vendors that applied to this client's endpoints during this month. The automated patch scanning ran on schedule throughout the period.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Manual Installations by Technijian</w:t>
            </w:r>
          </w:p>
        </w:tc>
      </w:tr>
    </w:tbl>
    <w:tbl>
      <w:tblPr>
        <w:tblW w:type="auto" w:w="0"/>
        <w:tblLook w:firstColumn="1" w:firstRow="1" w:lastColumn="0" w:lastRow="0" w:noHBand="0" w:noVBand="1" w:val="04A0"/>
      </w:tblPr>
      <w:tblGrid>
        <w:gridCol w:w="9360"/>
      </w:tblGrid>
      <w:tr>
        <w:tc>
          <w:tcPr>
            <w:tcW w:type="dxa" w:w="9360"/>
            <w:shd w:val="clear" w:color="auto" w:fill="E9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All scheduled patches were deployed cleanly by the automated pipeline — no hands-on installation by Technijian's tech team was required this month.</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Year-to-Date Patch Coverage</w:t>
            </w:r>
          </w:p>
        </w:tc>
      </w:tr>
    </w:tbl>
    <w:p>
      <w:pPr>
        <w:spacing w:after="160"/>
      </w:pPr>
      <w:r>
        <w:rPr>
          <w:rFonts w:ascii="Open Sans" w:hAnsi="Open Sans"/>
          <w:b w:val="0"/>
          <w:i w:val="0"/>
          <w:color w:val="59595B"/>
          <w:sz w:val="22"/>
        </w:rPr>
        <w:t>Year-to-date totals will populate as automated patch deployments accumulate during the year.</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Monitored the patch infrastructure 24×7: </w:t>
      </w:r>
      <w:r>
        <w:rPr>
          <w:rFonts w:ascii="Open Sans" w:hAnsi="Open Sans"/>
          <w:b w:val="0"/>
          <w:i w:val="0"/>
          <w:color w:val="59595B"/>
          <w:sz w:val="22"/>
        </w:rPr>
        <w:t>patch scan health, deployment status, distribution server connectivity, and endpoint check-in were all under continuous monitoring throughout the month.</w:t>
      </w:r>
    </w:p>
    <w:p>
      <w:pPr>
        <w:spacing w:after="160"/>
      </w:pPr>
      <w:r>
        <w:rPr>
          <w:rFonts w:ascii="Open Sans" w:hAnsi="Open Sans"/>
          <w:b/>
          <w:i w:val="0"/>
          <w:color w:val="1A1A2E"/>
          <w:sz w:val="24"/>
        </w:rPr>
        <w:t>Specific work delivered this month</w:t>
      </w:r>
    </w:p>
    <w:p>
      <w:pPr>
        <w:spacing w:after="160"/>
      </w:pPr>
      <w:r>
        <w:rPr>
          <w:rFonts w:ascii="Open Sans" w:hAnsi="Open Sans"/>
          <w:b w:val="0"/>
          <w:i w:val="0"/>
          <w:color w:val="59595B"/>
          <w:sz w:val="22"/>
        </w:rPr>
        <w:t>These items are pulled directly from the time entries and tickets logged by Technijian's team during the period — actual work, not estimates.</w:t>
      </w:r>
    </w:p>
    <w:p>
      <w:pPr>
        <w:pStyle w:val="ListBullet"/>
        <w:spacing w:after="80"/>
      </w:pPr>
      <w:r>
        <w:rPr>
          <w:rFonts w:ascii="Open Sans" w:hAnsi="Open Sans"/>
          <w:b w:val="0"/>
          <w:i w:val="0"/>
          <w:color w:val="59595B"/>
          <w:sz w:val="22"/>
        </w:rPr>
        <w:t>Screenconnect Latest version  (V 26.1.22.9573)  updated on machine RFPS15 (handled by S. Kumar) — 0.2h of tech effort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ManageEngine announced no major platform changes this month. Routine detection-content updates and sensor improvements continued to roll out automatically. Technijian tracks ManageEngine's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Healthcare. Based on that classification, the data Technijian's stack is helping protect is most likely characterized as: PHI.</w:t>
      </w:r>
    </w:p>
    <w:p>
      <w:pPr>
        <w:spacing w:after="160"/>
      </w:pPr>
      <w:r>
        <w:rPr>
          <w:rFonts w:ascii="Open Sans" w:hAnsi="Open Sans"/>
          <w:b w:val="0"/>
          <w:i w:val="0"/>
          <w:color w:val="59595B"/>
          <w:sz w:val="21"/>
        </w:rPr>
        <w:t>All endpoints handle Protected Health Information (PHI). HIPAA Security Rule (45 CFR §164.302-318) requires administrative, physical, and technical safeguards. The HITECH Act extends breach-notification and audit obligations. California CMIA (Civil Code §56) adds state-specific patient confidentiality rules.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HIPAA: </w:t>
      </w:r>
      <w:r>
        <w:rPr>
          <w:rFonts w:ascii="Open Sans" w:hAnsi="Open Sans"/>
          <w:b w:val="0"/>
          <w:i w:val="0"/>
          <w:color w:val="59595B"/>
          <w:sz w:val="22"/>
        </w:rPr>
        <w:t>endpoint detection &amp; response (Huntress + CrowdStrike), patch management (Endpoint Central), access auditing, and 24x7 incident response satisfy the technical safeguard requirements of 45 CFR §164.312 (access control, audit controls, integrity, transmission security).</w:t>
      </w:r>
    </w:p>
    <w:p>
      <w:pPr>
        <w:pStyle w:val="ListBullet"/>
        <w:spacing w:after="80"/>
      </w:pPr>
      <w:r>
        <w:rPr>
          <w:rFonts w:ascii="Open Sans" w:hAnsi="Open Sans"/>
          <w:b/>
          <w:i w:val="0"/>
          <w:color w:val="1A1A2E"/>
          <w:sz w:val="22"/>
        </w:rPr>
        <w:t xml:space="preserve">HITECH: </w:t>
      </w:r>
      <w:r>
        <w:rPr>
          <w:rFonts w:ascii="Open Sans" w:hAnsi="Open Sans"/>
          <w:b w:val="0"/>
          <w:i w:val="0"/>
          <w:color w:val="59595B"/>
          <w:sz w:val="22"/>
        </w:rPr>
        <w:t>automated detection of suspicious access events and Technijian's documented incident-response process keeps the breach-notification clock from running silently — any potential PHI exposure is investigated and timestamped within hours.</w:t>
      </w:r>
    </w:p>
    <w:p>
      <w:pPr>
        <w:pStyle w:val="ListBullet"/>
        <w:spacing w:after="80"/>
      </w:pPr>
      <w:r>
        <w:rPr>
          <w:rFonts w:ascii="Open Sans" w:hAnsi="Open Sans"/>
          <w:b/>
          <w:i w:val="0"/>
          <w:color w:val="1A1A2E"/>
          <w:sz w:val="22"/>
        </w:rPr>
        <w:t xml:space="preserve">California CMIA: </w:t>
      </w:r>
      <w:r>
        <w:rPr>
          <w:rFonts w:ascii="Open Sans" w:hAnsi="Open Sans"/>
          <w:b w:val="0"/>
          <w:i w:val="0"/>
          <w:color w:val="59595B"/>
          <w:sz w:val="22"/>
        </w:rPr>
        <w:t>the same access-auditing and detection pipeline that supports HIPAA also covers California's stricter CMIA confidentiality requirements for medical information.</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Move to an automated patch schedule: </w:t>
      </w:r>
      <w:r>
        <w:rPr>
          <w:rFonts w:ascii="Open Sans" w:hAnsi="Open Sans"/>
          <w:b w:val="0"/>
          <w:i w:val="0"/>
          <w:color w:val="59595B"/>
          <w:sz w:val="22"/>
        </w:rPr>
        <w:t>your endpoints are currently patched on-demand. Moving to a recurring weekly window (typical: Friday/Saturday evenings) would shrink the time-to-patch on critical vulnerabilities and reduce the manual coordination needed each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Technijian's ManageEngine Endpoint Central MSP server (myrmm.technijian.com) by the annual-client-review pipeline. Every figure is sourced live from the EC SQL backend at report-generation time; no manual data entry is involved.</w:t>
      </w:r>
    </w:p>
    <w:p>
      <w:pPr>
        <w:spacing w:after="160"/>
      </w:pPr>
      <w:r>
        <w:rPr>
          <w:rFonts w:ascii="Open Sans" w:hAnsi="Open Sans"/>
          <w:b w:val="0"/>
          <w:i w:val="0"/>
          <w:color w:val="59595B"/>
          <w:sz w:val="22"/>
        </w:rPr>
        <w:t>Report generated 2026-05-02 20:00 for client 'EBRMD' covering April 2026 (installations between the 1st and last day of the month, UTC).</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