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 0.14.146  HHCA-MARITZA &amp; DESKTOP-PDULRRL (handled by S. Kumar) — 0.5h of tech effort</w:t>
      </w:r>
    </w:p>
    <w:p>
      <w:pPr>
        <w:pStyle w:val="ListBullet"/>
        <w:spacing w:after="80"/>
      </w:pPr>
      <w:r>
        <w:rPr>
          <w:rFonts w:ascii="Open Sans" w:hAnsi="Open Sans"/>
          <w:b w:val="0"/>
          <w:i w:val="0"/>
          <w:color w:val="59595B"/>
          <w:sz w:val="22"/>
        </w:rPr>
        <w:t>Huntress Agent updated with Ver 0.14.146  HHCA-MARITZA &amp; DESKTOP-PDULRRL — 0.5h on 2026-03-13</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Non-profit / Housing Services. Based on that classification, the data Technijian's stack is helping protect is most likely characterized as: Resident / donor PII.</w:t>
      </w:r>
    </w:p>
    <w:p>
      <w:pPr>
        <w:spacing w:after="160"/>
      </w:pPr>
      <w:r>
        <w:rPr>
          <w:rFonts w:ascii="Open Sans" w:hAnsi="Open Sans"/>
          <w:b w:val="0"/>
          <w:i w:val="0"/>
          <w:color w:val="59595B"/>
          <w:sz w:val="21"/>
        </w:rPr>
        <w:t>Nonprofit operating supportive-housing programs handles applicant/resident PII (under CCPA) and Fair Housing Act records. State charitable-registration security expectations apply to donor data. Some grant-funded programs may also have HIPAA scope if direct medical services are delivered — confirm per program before enabling HIPAA controls.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State charitable registration: </w:t>
      </w:r>
      <w:r>
        <w:rPr>
          <w:rFonts w:ascii="Open Sans" w:hAnsi="Open Sans"/>
          <w:b w:val="0"/>
          <w:i w:val="0"/>
          <w:color w:val="59595B"/>
          <w:sz w:val="22"/>
        </w:rPr>
        <w:t>donor-data protection controls and breach-detection capabilities support state charitable-registration security expectations.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