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Housing for Health OC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Housing for Health OC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5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8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0.14.162 on Brandi,DESKTOP-PDULRRL,HHCA-MARITZA,LAPTOP-MTFA4MM6 (handled by R. Uniyal) — 1.0h of tech effort</w:t>
      </w:r>
    </w:p>
    <w:p>
      <w:pPr>
        <w:pStyle w:val="ListBullet"/>
        <w:spacing w:after="80"/>
      </w:pPr>
      <w:r>
        <w:rPr>
          <w:rFonts w:ascii="Open Sans" w:hAnsi="Open Sans"/>
          <w:b w:val="0"/>
          <w:i w:val="0"/>
          <w:color w:val="59595B"/>
          <w:sz w:val="22"/>
        </w:rPr>
        <w:t>Huntress Agent updated with  Version 0.14.162 on Brandi,DESKTOP-PDULRRL,DESKTOP-RGHKNDN,HHCA-MARITZA (handled by R. Uniyal) — 1.0h of tech effort</w:t>
      </w:r>
    </w:p>
    <w:p>
      <w:pPr>
        <w:pStyle w:val="ListBullet"/>
        <w:spacing w:after="80"/>
      </w:pPr>
      <w:r>
        <w:rPr>
          <w:rFonts w:ascii="Open Sans" w:hAnsi="Open Sans"/>
          <w:b w:val="0"/>
          <w:i w:val="0"/>
          <w:color w:val="59595B"/>
          <w:sz w:val="22"/>
        </w:rPr>
        <w:t>Huntress Agent updated with Version 0.14.162, replaced with Version 0.14.150 on LAPTOP-H0LRLV42, HHCA-Maritza (handled by D. Bhardwaj) — 0.5h of tech effort</w:t>
      </w:r>
    </w:p>
    <w:p>
      <w:pPr>
        <w:pStyle w:val="ListBullet"/>
        <w:spacing w:after="80"/>
      </w:pPr>
      <w:r>
        <w:rPr>
          <w:rFonts w:ascii="Open Sans" w:hAnsi="Open Sans"/>
          <w:b w:val="0"/>
          <w:i w:val="0"/>
          <w:color w:val="59595B"/>
          <w:sz w:val="22"/>
        </w:rPr>
        <w:t>Huntress Agent updated with  Version V0.14.150 on LAPTOP-NK9LD6E3,HHCA-Maritza,DESKTOP-RGHKNDN,LAPTOP-H0LRLV42 (handled by A. Saraf) — 0.9h of tech effort</w:t>
      </w:r>
    </w:p>
    <w:p>
      <w:pPr>
        <w:pStyle w:val="ListBullet"/>
        <w:spacing w:after="80"/>
      </w:pPr>
      <w:r>
        <w:rPr>
          <w:rFonts w:ascii="Open Sans" w:hAnsi="Open Sans"/>
          <w:b w:val="0"/>
          <w:i w:val="0"/>
          <w:color w:val="59595B"/>
          <w:sz w:val="22"/>
        </w:rPr>
        <w:t>Huntress Agent updated with  Version V0.14.150 on LAPTOP-NK9LD6E3,HHCA-Maritza,DESKTOP-RGHKNDN,LAPTOP-H0LRLV42 — 0.9h on 2026-04-01</w:t>
      </w:r>
    </w:p>
    <w:p>
      <w:pPr>
        <w:pStyle w:val="ListBullet"/>
        <w:spacing w:after="80"/>
      </w:pPr>
      <w:r>
        <w:rPr>
          <w:rFonts w:ascii="Open Sans" w:hAnsi="Open Sans"/>
          <w:b w:val="0"/>
          <w:i w:val="0"/>
          <w:color w:val="59595B"/>
          <w:sz w:val="22"/>
        </w:rPr>
        <w:t>Huntress Agent updated with Version 0.14.162, replaced with Version 0.14.150 on LAPTOP-H0LRLV42, HHCA-Maritza — 0.5h on 2026-04-21</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DESKTOP-RGHKNDN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LAPTOP-NK9LD6E3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HHCA-Maritza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Heather’s MacBook Air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Non-profit / Housing Services. Based on that classification, the data Technijian's stack is helping protect is most likely characterized as: Resident / donor PII.</w:t>
      </w:r>
    </w:p>
    <w:p>
      <w:pPr>
        <w:spacing w:after="160"/>
      </w:pPr>
      <w:r>
        <w:rPr>
          <w:rFonts w:ascii="Open Sans" w:hAnsi="Open Sans"/>
          <w:b w:val="0"/>
          <w:i w:val="0"/>
          <w:color w:val="59595B"/>
          <w:sz w:val="21"/>
        </w:rPr>
        <w:t>Nonprofit operating supportive-housing programs handles applicant/resident PII (under CCPA) and Fair Housing Act records. State charitable-registration security expectations apply to donor data. Some grant-funded programs may also have HIPAA scope if direct medical services are delivered — confirm per program before enabling HIPAA controls.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State charitable registration: </w:t>
      </w:r>
      <w:r>
        <w:rPr>
          <w:rFonts w:ascii="Open Sans" w:hAnsi="Open Sans"/>
          <w:b w:val="0"/>
          <w:i w:val="0"/>
          <w:color w:val="59595B"/>
          <w:sz w:val="22"/>
        </w:rPr>
        <w:t>donor-data protection controls and breach-detection capabilities support state charitable-registration security expectations.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