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HHOC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20 patches across 3 HHOC endpoints — 20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HHOC's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HHOC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HHOC Patch Management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20:00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HHCA-Maritza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LAPTOP-NK9LD6E3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DESKTOP-PDULRRL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18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microsoftedgeenterprise_145.0.3800.82_x64.msi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microsoftedgeenterprise_145.0.3800.70_x64.msi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4da11e7c-5323-4742-9890-5b346baa0ad7_de46eeb2ee263130db37e7614102ba59a47e0ca2_INTELAUDIO__FUNC_01_VEN_10EC_DEV_0295.cab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228b3e8a-0c81-49ef-a079-7d4627944b0e_59a950f8b5a12ebe92767065bc0a7b6ddd843bd7_PCI_VEN_8086_DEV_A7A0.cab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windows11.0-kb5077181-x64-24H2_win11.msu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microsoftedgeenterprise_144.0.3719.115_x64.msi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31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20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3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5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20:00-02:00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HHCA-Maritza Missing Patches Deployed (handled by R. Uniyal) — 0.3h of tech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Non-profit / Housing Services. Based on that classification, the data Technijian's stack is helping protect is most likely characterized as: Resident / donor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Nonprofit operating supportive-housing programs handles applicant/resident PII (under CCPA) and Fair Housing Act records. State charitable-registration security expectations apply to donor data. Some grant-funded programs may also have HIPAA scope if direct medical services are delivered — confirm per program before enabling HIPAA controls.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Fair Housing Act: </w:t>
      </w:r>
      <w:r>
        <w:rPr>
          <w:rFonts w:ascii="Open Sans" w:hAnsi="Open Sans"/>
          <w:b w:val="0"/>
          <w:i w:val="0"/>
          <w:color w:val="59595B"/>
          <w:sz w:val="22"/>
        </w:rPr>
        <w:t>audit logs around resident applicant data demonstrate the non-discrimination and recordkeeping controls the Fair Housing Act requires.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State charitable registration: </w:t>
      </w:r>
      <w:r>
        <w:rPr>
          <w:rFonts w:ascii="Open Sans" w:hAnsi="Open Sans"/>
          <w:b w:val="0"/>
          <w:i w:val="0"/>
          <w:color w:val="59595B"/>
          <w:sz w:val="22"/>
        </w:rPr>
        <w:t>donor-data protection controls and breach-detection capabilities support state charitable-registration security expectations.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'HHOC'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