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HHOC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40 patches across 5 HHOC endpoints — 40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HHOC's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HHOC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HHOC Patch Management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20:00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DESKTOP-RGHKNDN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HHCA-Maritza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LAPTOP-NK9LD6E3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LAPTOP-MTFA4MM6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DESKTOP-PDULRRL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54.8%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Tim Kosse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Brother Industries,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2.4%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27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2d6d56d9-7e8c-4673-92f9-c3033d6f56ce_54ff7a310f1a33c92675d0201339700b27833ca2.cab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googlechromestandaloneenterprise_147.0.7727.117.msi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FileZilla_3.70.4_win64-setup.exe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iPrintScan-Setup-15_1_0_46.exe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AcroRdrDCx64Upd2600121431.msp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VC_redist.x64__14.50.35719.0.exe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VC_redist.x86__14.50.35719.0.exe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microsoftedgeenterprise_147.0.3912.72_x64.msi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windowsdesktop-runtime-8.0.26-win-x86.exe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dotnet-hosting-8.0.26-win.exe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windows11.0-kb5083769-x64-25H2_win11.msu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windows11.0-kb5082417-x64-ndp481-25H2_win11.msu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April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67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April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April 2026, Technijian has deployed 110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40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9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20:00-02:00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Missing patch update on the HHCA-Maritza (handled by S. Kumar) — 0.4h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 HHCA-Maritza (handled by R. Kumar) — 0.5h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LAPTOP-MTFA4MM6,LAPTOP-NK9LD6E3 : Syncing issue with umbrella, update with latest version — 0.5h on 2026-04-07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Device Non-Compliant Due to Missing Patches HHCA-Maritza — 0.5h on 2026-04-12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Missing patch update on the HHCA-Maritza — 0.4h on 2026-04-20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Non-profit / Housing Services. Based on that classification, the data Technijian's stack is helping protect is most likely characterized as: Resident / donor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Nonprofit operating supportive-housing programs handles applicant/resident PII (under CCPA) and Fair Housing Act records. State charitable-registration security expectations apply to donor data. Some grant-funded programs may also have HIPAA scope if direct medical services are delivered — confirm per program before enabling HIPAA controls.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State charitable registration: </w:t>
      </w:r>
      <w:r>
        <w:rPr>
          <w:rFonts w:ascii="Open Sans" w:hAnsi="Open Sans"/>
          <w:b w:val="0"/>
          <w:i w:val="0"/>
          <w:color w:val="59595B"/>
          <w:sz w:val="22"/>
        </w:rPr>
        <w:t>donor-data protection controls and breach-detection capabilities support state charitable-registration security expectations.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20:00 for client 'HHOC'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