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ISH-KSS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43 patches across 12 ISH-KSS endpoints — 43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ISH-KSS's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ISH-KSS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 -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Wed, Thu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KABFDBACK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KABRESLEFT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KABRESRIGHT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KSS-HQ-VBR-01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KABFDLEFT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KABSUPPORT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KABDT005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Logitech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14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Setup_147.0.3_x64.exe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microsoftedgeenterprise_145.0.3800.65_x64.msi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 115.32.1esr_x64.exe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3de915d8-3c4d-4341-a002-840a5d8be101_97f01c46b968a3faa7e4a342a4b1dfb88ed86bbe_PCI__VEN_8086_DEV_1A1C.cab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OptiPlex_7080_1.37.0.exe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3de915d8-3c4d-4341-a002-840a5d8be101_97f01c46b968a3faa7e4a342a4b1dfb88ed86bbe.cab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windows10.0-kb5075904-x64-2019.msu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options_installer_10.26.14.0.exe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39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86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86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43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12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Wed,Thu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Hospitality. Based on that classification, the data Technijian's stack is helping protect is most likely characterized as: PCI / Guest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Hospitality operations process card-present and card-not-present transactions, putting them firmly in PCI DSS scope. Guest PII (passport scans, ID) drives CCPA and state breach-notification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'ISH-KSS'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