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International Sportsmedicine Institute</w:t>
      </w:r>
    </w:p>
    <w:p>
      <w:pPr>
        <w:jc w:val="center"/>
      </w:pPr>
      <w:r>
        <w:rPr>
          <w:rFonts w:ascii="Open Sans" w:hAnsi="Open Sans"/>
          <w:b w:val="0"/>
          <w:i w:val="0"/>
          <w:color w:val="59595B"/>
          <w:sz w:val="24"/>
        </w:rPr>
        <w:t>January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International Sportsmedicine Institute during January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9</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9</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6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2019 Standard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Pro</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January 2026, Huntress raised 1 incident report(s) and surfaced 2 signal(s) on your environment. Each one was reviewed by Technijian's security operations team and routed to the appropriate response track. The breakdown is below.</w:t>
      </w:r>
    </w:p>
    <w:p/>
    <w:p>
      <w:pPr>
        <w:spacing w:after="160"/>
      </w:pPr>
      <w:r>
        <w:rPr>
          <w:rFonts w:ascii="Open Sans" w:hAnsi="Open Sans"/>
          <w:b/>
          <w:i w:val="0"/>
          <w:color w:val="1A1A2E"/>
          <w:sz w:val="24"/>
        </w:rPr>
        <w:t>Incidents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Incident detail</w:t>
      </w:r>
    </w:p>
    <w:tbl>
      <w:tblPr>
        <w:tblW w:type="auto" w:w="0"/>
        <w:tblLayout w:type="fixed"/>
        <w:tblLook w:firstColumn="1" w:firstRow="1" w:lastColumn="0" w:lastRow="0" w:noHBand="0" w:noVBand="1" w:val="04A0"/>
      </w:tblPr>
      <w:tblGrid>
        <w:gridCol w:w="2340"/>
        <w:gridCol w:w="2340"/>
        <w:gridCol w:w="2340"/>
        <w:gridCol w:w="2340"/>
      </w:tblGrid>
      <w:tr>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48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Summary</w:t>
            </w:r>
          </w:p>
        </w:tc>
      </w:tr>
      <w:tr>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2026-01-02</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Sent</w:t>
            </w:r>
          </w:p>
        </w:tc>
        <w:tc>
          <w:tcPr>
            <w:tcW w:type="dxa" w:w="48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CRITICAL - ISOLATED - Incident on WKISI6 (ISI - International Sportsmedicine Institute)</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9 of 9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2 signal(s) and actioned 1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6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pPr>
        <w:spacing w:after="160"/>
      </w:pPr>
      <w:r>
        <w:rPr>
          <w:rFonts w:ascii="Open Sans" w:hAnsi="Open Sans"/>
          <w:b/>
          <w:i w:val="0"/>
          <w:color w:val="1A1A2E"/>
          <w:sz w:val="24"/>
        </w:rPr>
        <w:t>Specific work delivered this month</w:t>
      </w:r>
    </w:p>
    <w:p>
      <w:pPr>
        <w:spacing w:after="160"/>
      </w:pPr>
      <w:r>
        <w:rPr>
          <w:rFonts w:ascii="Open Sans" w:hAnsi="Open Sans"/>
          <w:b w:val="0"/>
          <w:i w:val="0"/>
          <w:color w:val="59595B"/>
          <w:sz w:val="22"/>
        </w:rPr>
        <w:t>These items are pulled directly from the time entries and tickets logged by Technijian's team during the period — actual work, not estimates.</w:t>
      </w:r>
    </w:p>
    <w:p>
      <w:pPr>
        <w:pStyle w:val="ListBullet"/>
        <w:spacing w:after="80"/>
      </w:pPr>
      <w:r>
        <w:rPr>
          <w:rFonts w:ascii="Open Sans" w:hAnsi="Open Sans"/>
          <w:b w:val="0"/>
          <w:i w:val="0"/>
          <w:color w:val="59595B"/>
          <w:sz w:val="22"/>
        </w:rPr>
        <w:t>Huntress Agent updated with  Version V0.14.96 on ISI-HQ-VONE,WKISIFD01 (handled by R. Uniyal) — 0.6h of tech effort</w:t>
      </w:r>
    </w:p>
    <w:p>
      <w:pPr>
        <w:pStyle w:val="ListBullet"/>
        <w:spacing w:after="80"/>
      </w:pPr>
      <w:r>
        <w:rPr>
          <w:rFonts w:ascii="Open Sans" w:hAnsi="Open Sans"/>
          <w:b w:val="0"/>
          <w:i w:val="0"/>
          <w:color w:val="59595B"/>
          <w:sz w:val="22"/>
        </w:rPr>
        <w:t>Huntress Agent updated with  Version V0.14.96 on ISI-HQ-AD-01,ISI-HQ-APP-01 (handled by R. Uniyal) — 0.5h of tech effort</w:t>
      </w:r>
    </w:p>
    <w:p>
      <w:pPr>
        <w:pStyle w:val="ListBullet"/>
        <w:spacing w:after="80"/>
      </w:pPr>
      <w:r>
        <w:rPr>
          <w:rFonts w:ascii="Open Sans" w:hAnsi="Open Sans"/>
          <w:b w:val="0"/>
          <w:i w:val="0"/>
          <w:color w:val="59595B"/>
          <w:sz w:val="22"/>
        </w:rPr>
        <w:t>[Huntress Detection] CRITICAL - ISOLATED - Incident on WKISI6 (ISI - International Sportsmedicine Institute) (handled by G. Kumar) — 0.7h of tech effort</w:t>
      </w:r>
    </w:p>
    <w:p>
      <w:pPr>
        <w:pStyle w:val="ListBullet"/>
        <w:spacing w:after="80"/>
      </w:pPr>
      <w:r>
        <w:rPr>
          <w:rFonts w:ascii="Open Sans" w:hAnsi="Open Sans"/>
          <w:b w:val="0"/>
          <w:i w:val="0"/>
          <w:color w:val="59595B"/>
          <w:sz w:val="22"/>
        </w:rPr>
        <w:t>Huntress Agent updated with  Version V0.14.96 on ISI-HQ-AD-01,ISI-HQ-APP-01,ISI-HQ-DB-01,ISI-HQ-VBR-01 (handled by S. Sharma) — 0.9h of tech effort</w:t>
      </w:r>
    </w:p>
    <w:p>
      <w:pPr>
        <w:pStyle w:val="ListBullet"/>
        <w:spacing w:after="80"/>
      </w:pPr>
      <w:r>
        <w:rPr>
          <w:rFonts w:ascii="Open Sans" w:hAnsi="Open Sans"/>
          <w:b w:val="0"/>
          <w:i w:val="0"/>
          <w:color w:val="59595B"/>
          <w:sz w:val="22"/>
        </w:rPr>
        <w:t>Huntress Agent updated with  Version V0.14.96 on ISI-HQ-AD-01,ISI-HQ-APP-01,ISI-HQ-DB-01,ISI-HQ-VBR-01 — 0.9h on 2026-01-02</w:t>
      </w:r>
    </w:p>
    <w:p>
      <w:pPr>
        <w:pStyle w:val="ListBullet"/>
        <w:spacing w:after="80"/>
      </w:pPr>
      <w:r>
        <w:rPr>
          <w:rFonts w:ascii="Open Sans" w:hAnsi="Open Sans"/>
          <w:b w:val="0"/>
          <w:i w:val="0"/>
          <w:color w:val="59595B"/>
          <w:sz w:val="22"/>
        </w:rPr>
        <w:t>[Huntress Detection] CRITICAL - ISOLATED - Incident on WKISI6 (ISI - International Sportsmedicine Institute) — 0.7h on 2026-01-03</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ISI-HQ-APP-01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newwkisi5</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ISI-HQ-VBR-01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ISI-HQ-AD-01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ISI-HQ-DB-01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ISI-HQ-VONE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Healthcare. Based on that classification, the data Technijian's stack is helping protect is most likely characterized as: PHI.</w:t>
      </w:r>
    </w:p>
    <w:p>
      <w:pPr>
        <w:spacing w:after="160"/>
      </w:pPr>
      <w:r>
        <w:rPr>
          <w:rFonts w:ascii="Open Sans" w:hAnsi="Open Sans"/>
          <w:b w:val="0"/>
          <w:i w:val="0"/>
          <w:color w:val="59595B"/>
          <w:sz w:val="21"/>
        </w:rPr>
        <w:t>All endpoints handle Protected Health Information (PHI). HIPAA Security Rule (45 CFR §164.302-318) requires administrative, physical, and technical safeguards. The HITECH Act extends breach-notification and audit obligations. California CMIA (Civil Code §56) adds state-specific patient confidentiality rules.</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HIPAA: </w:t>
      </w:r>
      <w:r>
        <w:rPr>
          <w:rFonts w:ascii="Open Sans" w:hAnsi="Open Sans"/>
          <w:b w:val="0"/>
          <w:i w:val="0"/>
          <w:color w:val="59595B"/>
          <w:sz w:val="22"/>
        </w:rPr>
        <w:t>endpoint detection &amp; response (Huntress + CrowdStrike), patch management (Endpoint Central), access auditing, and 24x7 incident response satisfy the technical safeguard requirements of 45 CFR §164.312 (access control, audit controls, integrity, transmission security).</w:t>
      </w:r>
    </w:p>
    <w:p>
      <w:pPr>
        <w:pStyle w:val="ListBullet"/>
        <w:spacing w:after="80"/>
      </w:pPr>
      <w:r>
        <w:rPr>
          <w:rFonts w:ascii="Open Sans" w:hAnsi="Open Sans"/>
          <w:b/>
          <w:i w:val="0"/>
          <w:color w:val="1A1A2E"/>
          <w:sz w:val="22"/>
        </w:rPr>
        <w:t xml:space="preserve">HITECH: </w:t>
      </w:r>
      <w:r>
        <w:rPr>
          <w:rFonts w:ascii="Open Sans" w:hAnsi="Open Sans"/>
          <w:b w:val="0"/>
          <w:i w:val="0"/>
          <w:color w:val="59595B"/>
          <w:sz w:val="22"/>
        </w:rPr>
        <w:t>automated detection of suspicious access events and Technijian's documented incident-response process keeps the breach-notification clock from running silently — any potential PHI exposure is investigated and timestamped within hours.</w:t>
      </w:r>
    </w:p>
    <w:p>
      <w:pPr>
        <w:pStyle w:val="ListBullet"/>
        <w:spacing w:after="80"/>
      </w:pPr>
      <w:r>
        <w:rPr>
          <w:rFonts w:ascii="Open Sans" w:hAnsi="Open Sans"/>
          <w:b/>
          <w:i w:val="0"/>
          <w:color w:val="1A1A2E"/>
          <w:sz w:val="22"/>
        </w:rPr>
        <w:t xml:space="preserve">California CMIA: </w:t>
      </w:r>
      <w:r>
        <w:rPr>
          <w:rFonts w:ascii="Open Sans" w:hAnsi="Open Sans"/>
          <w:b w:val="0"/>
          <w:i w:val="0"/>
          <w:color w:val="59595B"/>
          <w:sz w:val="22"/>
        </w:rPr>
        <w:t>the same access-auditing and detection pipeline that supports HIPAA also covers California's stricter CMIA confidentiality requirements for medical information.</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