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Jerry Seiner Dealerships</w:t>
      </w:r>
    </w:p>
    <w:p>
      <w:pPr>
        <w:jc w:val="center"/>
      </w:pPr>
      <w:r>
        <w:rPr>
          <w:rFonts w:ascii="Open Sans" w:hAnsi="Open Sans"/>
          <w:b w:val="0"/>
          <w:i w:val="0"/>
          <w:color w:val="59595B"/>
          <w:sz w:val="24"/>
        </w:rPr>
        <w:t>January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Jerry Seiner Dealerships during January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EA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All monitored endpoints checked in on schedule and Microsoft Defender / firewall posture is healthy across your fleet. No action items this month.</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January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0 of 0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6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val="0"/>
          <w:i w:val="0"/>
          <w:color w:val="59595B"/>
          <w:sz w:val="22"/>
        </w:rPr>
        <w:t>No action is required from your team this month. Coverage is healthy across the board.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Automotive / Dealership Finance. Based on that classification, the data Technijian's stack is helping protect is most likely characterized as: Customer NPI / Credit data.</w:t>
      </w:r>
    </w:p>
    <w:p>
      <w:pPr>
        <w:spacing w:after="160"/>
      </w:pPr>
      <w:r>
        <w:rPr>
          <w:rFonts w:ascii="Open Sans" w:hAnsi="Open Sans"/>
          <w:b w:val="0"/>
          <w:i w:val="0"/>
          <w:color w:val="59595B"/>
          <w:sz w:val="21"/>
        </w:rPr>
        <w:t>Franchised dealers that originate F&amp;I loans qualify as non-bank financial institutions under GLBA — full Safeguards Rule applies. FTC Safeguards Rule layered on the same controls. PCI for parts/service card payments; CCPA for California-resident PII.</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pStyle w:val="ListBullet"/>
        <w:spacing w:after="80"/>
      </w:pPr>
      <w:r>
        <w:rPr>
          <w:rFonts w:ascii="Open Sans" w:hAnsi="Open Sans"/>
          <w:b/>
          <w:i w:val="0"/>
          <w:color w:val="1A1A2E"/>
          <w:sz w:val="22"/>
        </w:rPr>
        <w:t xml:space="preserve">FTC Safeguards Rule (if dealer): </w:t>
      </w:r>
      <w:r>
        <w:rPr>
          <w:rFonts w:ascii="Open Sans" w:hAnsi="Open Sans"/>
          <w:b w:val="0"/>
          <w:i w:val="0"/>
          <w:color w:val="59595B"/>
          <w:sz w:val="22"/>
        </w:rPr>
        <w:t>the same security-program controls that cover GLBA also satisfy the FTC Safeguards Rule for non-bank financial institutions (including auto dealers).</w:t>
      </w:r>
    </w:p>
    <w:p>
      <w:pPr>
        <w:pStyle w:val="ListBullet"/>
        <w:spacing w:after="80"/>
      </w:pPr>
      <w:r>
        <w:rPr>
          <w:rFonts w:ascii="Open Sans" w:hAnsi="Open Sans"/>
          <w:b/>
          <w:i w:val="0"/>
          <w:color w:val="1A1A2E"/>
          <w:sz w:val="22"/>
        </w:rPr>
        <w:t xml:space="preserve">GLBA: </w:t>
      </w:r>
      <w:r>
        <w:rPr>
          <w:rFonts w:ascii="Open Sans" w:hAnsi="Open Sans"/>
          <w:b w:val="0"/>
          <w:i w:val="0"/>
          <w:color w:val="59595B"/>
          <w:sz w:val="22"/>
        </w:rPr>
        <w:t>endpoint protection plus role-based access enforcement help satisfy the GLBA Safeguards Rule's information-security program requirements (16 CFR §314).</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