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Patch Management Activity</w:t>
      </w:r>
    </w:p>
    <w:p>
      <w:pPr>
        <w:spacing w:after="120"/>
        <w:jc w:val="center"/>
      </w:pPr>
      <w:r>
        <w:rPr>
          <w:rFonts w:ascii="Open Sans" w:hAnsi="Open Sans"/>
          <w:b w:val="0"/>
          <w:i w:val="0"/>
          <w:color w:val="59595B"/>
          <w:sz w:val="32"/>
        </w:rPr>
        <w:t>KES — January 2026</w:t>
      </w:r>
    </w:p>
    <w:p>
      <w:pPr>
        <w:jc w:val="center"/>
      </w:pPr>
      <w:r>
        <w:rPr>
          <w:rFonts w:ascii="Open Sans" w:hAnsi="Open Sans"/>
          <w:b w:val="0"/>
          <w:i w:val="0"/>
          <w:color w:val="59595B"/>
          <w:sz w:val="24"/>
        </w:rPr>
        <w:t>Generated 2026-05-02</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for internal Technijian and client use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0</w:t>
            </w:r>
          </w:p>
          <w:p>
            <w:pPr>
              <w:spacing w:before="0" w:after="240"/>
              <w:jc w:val="center"/>
            </w:pPr>
            <w:r>
              <w:rPr>
                <w:rFonts w:ascii="Open Sans" w:hAnsi="Open Sans"/>
                <w:b w:val="0"/>
                <w:i w:val="0"/>
                <w:color w:val="59595B"/>
                <w:sz w:val="20"/>
              </w:rPr>
              <w:t>Patches deployed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0</w:t>
            </w:r>
          </w:p>
          <w:p>
            <w:pPr>
              <w:spacing w:before="0" w:after="240"/>
              <w:jc w:val="center"/>
            </w:pPr>
            <w:r>
              <w:rPr>
                <w:rFonts w:ascii="Open Sans" w:hAnsi="Open Sans"/>
                <w:b w:val="0"/>
                <w:i w:val="0"/>
                <w:color w:val="59595B"/>
                <w:sz w:val="20"/>
              </w:rPr>
              <w:t>Machines patched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0</w:t>
            </w:r>
          </w:p>
          <w:p>
            <w:pPr>
              <w:spacing w:before="0" w:after="240"/>
              <w:jc w:val="center"/>
            </w:pPr>
            <w:r>
              <w:rPr>
                <w:rFonts w:ascii="Open Sans" w:hAnsi="Open Sans"/>
                <w:b w:val="0"/>
                <w:i w:val="0"/>
                <w:color w:val="59595B"/>
                <w:sz w:val="20"/>
              </w:rPr>
              <w:t>Critical patches deployed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0</w:t>
            </w:r>
          </w:p>
          <w:p>
            <w:pPr>
              <w:spacing w:before="0" w:after="240"/>
              <w:jc w:val="center"/>
            </w:pPr>
            <w:r>
              <w:rPr>
                <w:rFonts w:ascii="Open Sans" w:hAnsi="Open Sans"/>
                <w:b w:val="0"/>
                <w:i w:val="0"/>
                <w:color w:val="59595B"/>
                <w:sz w:val="20"/>
              </w:rPr>
              <w:t>Hands-on remediations</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There were no patches scheduled for deployment to KES endpoints during January 2026. This is expected for months with light vendor release activity. The patch scanning and deployment infrastructure remained operational throughout the period; the next scheduled window will deploy any newly-released patches that apply to your fleet.</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Patch Window</w:t>
            </w:r>
          </w:p>
        </w:tc>
      </w:tr>
    </w:tbl>
    <w:tbl>
      <w:tblPr>
        <w:tblW w:type="auto" w:w="0"/>
        <w:tblLook w:firstColumn="1" w:firstRow="1" w:lastColumn="0" w:lastRow="0" w:noHBand="0" w:noVBand="1" w:val="04A0"/>
      </w:tblPr>
      <w:tblGrid>
        <w:gridCol w:w="9360"/>
      </w:tblGrid>
      <w:tr>
        <w:tc>
          <w:tcPr>
            <w:tcW w:type="dxa" w:w="9360"/>
            <w:shd w:val="clear" w:color="auto" w:fill="E5F6FA"/>
            <w:tcBorders>
              <w:top w:val="single" w:sz="12" w:color="1EAAC8"/>
              <w:left w:val="single" w:sz="12" w:color="1EAAC8"/>
              <w:bottom w:val="single" w:sz="12" w:color="1EAAC8"/>
              <w:right w:val="single" w:sz="12" w:color="1EAAC8"/>
            </w:tcBorders>
          </w:tcPr>
          <w:p>
            <w:pPr>
              <w:spacing w:before="120" w:after="120"/>
            </w:pPr>
            <w:r>
              <w:rPr>
                <w:rFonts w:ascii="Open Sans" w:hAnsi="Open Sans"/>
                <w:b w:val="0"/>
                <w:i w:val="0"/>
                <w:color w:val="1A1A2E"/>
                <w:sz w:val="22"/>
              </w:rPr>
              <w:t>Patches for KES are deployed on-demand by Technijian rather than on a recurring automated schedule. See the Automated Patch Deployments section for the patches applied this month.</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Per-Machine Summary</w:t>
            </w:r>
          </w:p>
        </w:tc>
      </w:tr>
    </w:tbl>
    <w:p>
      <w:pPr>
        <w:spacing w:after="160"/>
      </w:pPr>
      <w:r>
        <w:rPr>
          <w:rFonts w:ascii="Open Sans" w:hAnsi="Open Sans"/>
          <w:b w:val="0"/>
          <w:i w:val="0"/>
          <w:color w:val="59595B"/>
          <w:sz w:val="22"/>
        </w:rPr>
        <w:t>No machines received patch installs this month.</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Severity Breakdown</w:t>
            </w:r>
          </w:p>
        </w:tc>
      </w:tr>
    </w:tbl>
    <w:p>
      <w:pPr>
        <w:spacing w:after="160"/>
      </w:pPr>
      <w:r>
        <w:rPr>
          <w:rFonts w:ascii="Open Sans" w:hAnsi="Open Sans"/>
          <w:b w:val="0"/>
          <w:i w:val="0"/>
          <w:color w:val="59595B"/>
          <w:sz w:val="22"/>
        </w:rPr>
        <w:t>No installs to categorize this month.</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Vendor Breakdown</w:t>
            </w:r>
          </w:p>
        </w:tc>
      </w:tr>
    </w:tbl>
    <w:p>
      <w:pPr>
        <w:spacing w:after="160"/>
      </w:pPr>
      <w:r>
        <w:rPr>
          <w:rFonts w:ascii="Open Sans" w:hAnsi="Open Sans"/>
          <w:b w:val="0"/>
          <w:i w:val="0"/>
          <w:color w:val="59595B"/>
          <w:sz w:val="22"/>
        </w:rPr>
        <w:t>No installs to categorize this month.</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Automated Patch Deployments</w:t>
            </w:r>
          </w:p>
        </w:tc>
      </w:tr>
    </w:tbl>
    <w:p>
      <w:pPr>
        <w:spacing w:after="160"/>
      </w:pPr>
      <w:r>
        <w:rPr>
          <w:rFonts w:ascii="Open Sans" w:hAnsi="Open Sans"/>
          <w:b w:val="0"/>
          <w:i w:val="0"/>
          <w:color w:val="59595B"/>
          <w:sz w:val="22"/>
        </w:rPr>
        <w:t>No patches were released by vendors that applied to this client's endpoints during this month. The automated patch scanning ran on schedule throughout the period.</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Manual Installations by Technijian</w:t>
            </w:r>
          </w:p>
        </w:tc>
      </w:tr>
    </w:tbl>
    <w:tbl>
      <w:tblPr>
        <w:tblW w:type="auto" w:w="0"/>
        <w:tblLook w:firstColumn="1" w:firstRow="1" w:lastColumn="0" w:lastRow="0" w:noHBand="0" w:noVBand="1" w:val="04A0"/>
      </w:tblPr>
      <w:tblGrid>
        <w:gridCol w:w="9360"/>
      </w:tblGrid>
      <w:tr>
        <w:tc>
          <w:tcPr>
            <w:tcW w:type="dxa" w:w="9360"/>
            <w:shd w:val="clear" w:color="auto" w:fill="E9F7EE"/>
            <w:tcBorders>
              <w:top w:val="single" w:sz="12" w:color="28A745"/>
              <w:left w:val="single" w:sz="12" w:color="28A745"/>
              <w:bottom w:val="single" w:sz="12" w:color="28A745"/>
              <w:right w:val="single" w:sz="12" w:color="28A745"/>
            </w:tcBorders>
          </w:tcPr>
          <w:p>
            <w:pPr>
              <w:spacing w:before="120" w:after="120"/>
            </w:pPr>
            <w:r>
              <w:rPr>
                <w:rFonts w:ascii="Open Sans" w:hAnsi="Open Sans"/>
                <w:b w:val="0"/>
                <w:i w:val="0"/>
                <w:color w:val="1A1A2E"/>
                <w:sz w:val="22"/>
              </w:rPr>
              <w:t>All scheduled patches were deployed cleanly by the automated pipeline — no hands-on installation by Technijian's tech team was required this month.</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Year-to-Date Patch Coverage</w:t>
            </w:r>
          </w:p>
        </w:tc>
      </w:tr>
    </w:tbl>
    <w:p>
      <w:pPr>
        <w:spacing w:after="160"/>
      </w:pPr>
      <w:r>
        <w:rPr>
          <w:rFonts w:ascii="Open Sans" w:hAnsi="Open Sans"/>
          <w:b w:val="0"/>
          <w:i w:val="0"/>
          <w:color w:val="59595B"/>
          <w:sz w:val="22"/>
        </w:rPr>
        <w:t>Cumulative 2026 patch deployment totals through January 2026, month by month. The running totals show Technijian's protection compounding across the calendar year.</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Month</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Patches Deployed</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Critical Patches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 Patched</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YTD Total</w:t>
            </w:r>
          </w:p>
        </w:tc>
      </w:tr>
      <w:tr>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January</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bl>
    <w:p>
      <w:pPr>
        <w:spacing w:after="160"/>
      </w:pPr>
      <w:r>
        <w:rPr>
          <w:rFonts w:ascii="Open Sans" w:hAnsi="Open Sans"/>
          <w:b/>
          <w:i w:val="0"/>
          <w:color w:val="1A1A2E"/>
          <w:sz w:val="22"/>
        </w:rPr>
        <w:t>Through January 2026, Technijian has deployed 0 patches year-to-date — including 0 Critical-severity vulnerabilities closed.</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Monitored the patch infrastructure 24×7: </w:t>
      </w:r>
      <w:r>
        <w:rPr>
          <w:rFonts w:ascii="Open Sans" w:hAnsi="Open Sans"/>
          <w:b w:val="0"/>
          <w:i w:val="0"/>
          <w:color w:val="59595B"/>
          <w:sz w:val="22"/>
        </w:rPr>
        <w:t>patch scan health, deployment status, distribution server connectivity, and endpoint check-in were all under continuous monitoring throughout the month.</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ManageEngine announced no major platform changes this month. Routine detection-content updates and sensor improvements continued to roll out automatically. Technijian tracks ManageEngine's release notes monthly so future updates land in this section as they're published.</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Compliance Alignment</w:t>
            </w:r>
          </w:p>
        </w:tc>
      </w:tr>
    </w:tbl>
    <w:p>
      <w:pPr>
        <w:spacing w:after="160"/>
      </w:pPr>
      <w:r>
        <w:rPr>
          <w:rFonts w:ascii="Open Sans" w:hAnsi="Open Sans"/>
          <w:b w:val="0"/>
          <w:i w:val="0"/>
          <w:color w:val="59595B"/>
          <w:sz w:val="22"/>
        </w:rPr>
        <w:t>This client's industry classification is Construction / Homebuilding. Based on that classification, the data Technijian's stack is helping protect is most likely characterized as: PII (employees, customers).</w:t>
      </w:r>
    </w:p>
    <w:p>
      <w:pPr>
        <w:spacing w:after="160"/>
      </w:pPr>
      <w:r>
        <w:rPr>
          <w:rFonts w:ascii="Open Sans" w:hAnsi="Open Sans"/>
          <w:b w:val="0"/>
          <w:i w:val="0"/>
          <w:color w:val="59595B"/>
          <w:sz w:val="21"/>
        </w:rPr>
        <w:t>Construction firms typically have minimal regulatory compliance obligations beyond general business privacy law (CCPA for California-resident data, OSHA for safety records). Government contracts (DoD, DOE) bring CMMC or NIST 800-171 into scope when applicable.</w:t>
      </w:r>
    </w:p>
    <w:p>
      <w:pPr>
        <w:spacing w:after="160"/>
      </w:pPr>
      <w:r>
        <w:rPr>
          <w:rFonts w:ascii="Open Sans" w:hAnsi="Open Sans"/>
          <w:b/>
          <w:i w:val="0"/>
          <w:color w:val="1A1A2E"/>
          <w:sz w:val="22"/>
        </w:rPr>
        <w:t>How Technijian's monitoring stack supports each framework:</w:t>
      </w:r>
    </w:p>
    <w:p>
      <w:pPr>
        <w:pStyle w:val="ListBullet"/>
        <w:spacing w:after="80"/>
      </w:pPr>
      <w:r>
        <w:rPr>
          <w:rFonts w:ascii="Open Sans" w:hAnsi="Open Sans"/>
          <w:b/>
          <w:i w:val="0"/>
          <w:color w:val="1A1A2E"/>
          <w:sz w:val="22"/>
        </w:rPr>
        <w:t xml:space="preserve">California CCPA: </w:t>
      </w:r>
      <w:r>
        <w:rPr>
          <w:rFonts w:ascii="Open Sans" w:hAnsi="Open Sans"/>
          <w:b w:val="0"/>
          <w:i w:val="0"/>
          <w:color w:val="59595B"/>
          <w:sz w:val="22"/>
        </w:rPr>
        <w:t>breach-detection and incident-response capabilities support CCPA §1798.150 reasonable-security obligations and the 72-hour notification window for incidents involving California-resident PII.</w:t>
      </w:r>
    </w:p>
    <w:p>
      <w:pPr>
        <w:spacing w:after="160"/>
      </w:pPr>
      <w:r>
        <w:rPr>
          <w:rFonts w:ascii="Open Sans" w:hAnsi="Open Sans"/>
          <w:b w:val="0"/>
          <w:i w:val="0"/>
          <w:color w:val="59595B"/>
          <w:sz w:val="19"/>
        </w:rPr>
        <w:t>This classification was generated automatically from the client's name and contact-domain signals. If the industry or compliance scope shown here doesn't match your operations, please reply to this report and we'll update the classification — Technijian's team can also produce a deeper compliance-posture report on request.</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pStyle w:val="ListBullet"/>
        <w:spacing w:after="80"/>
      </w:pPr>
      <w:r>
        <w:rPr>
          <w:rFonts w:ascii="Open Sans" w:hAnsi="Open Sans"/>
          <w:b/>
          <w:i w:val="0"/>
          <w:color w:val="1A1A2E"/>
          <w:sz w:val="22"/>
        </w:rPr>
        <w:t xml:space="preserve">Move to an automated patch schedule: </w:t>
      </w:r>
      <w:r>
        <w:rPr>
          <w:rFonts w:ascii="Open Sans" w:hAnsi="Open Sans"/>
          <w:b w:val="0"/>
          <w:i w:val="0"/>
          <w:color w:val="59595B"/>
          <w:sz w:val="22"/>
        </w:rPr>
        <w:t>your endpoints are currently patched on-demand. Moving to a recurring weekly window (typical: Friday/Saturday evenings) would shrink the time-to-patch on critical vulnerabilities and reduce the manual coordination needed each month.</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About This Report</w:t>
            </w:r>
          </w:p>
        </w:tc>
      </w:tr>
    </w:tbl>
    <w:p>
      <w:pPr>
        <w:spacing w:after="160"/>
      </w:pPr>
      <w:r>
        <w:rPr>
          <w:rFonts w:ascii="Open Sans" w:hAnsi="Open Sans"/>
          <w:b w:val="0"/>
          <w:i w:val="0"/>
          <w:color w:val="59595B"/>
          <w:sz w:val="22"/>
        </w:rPr>
        <w:t>This report is generated automatically from Technijian's ManageEngine Endpoint Central MSP server (myrmm.technijian.com) by the annual-client-review pipeline. Every figure is sourced live from the EC SQL backend at report-generation time; no manual data entry is involved.</w:t>
      </w:r>
    </w:p>
    <w:p>
      <w:pPr>
        <w:spacing w:after="160"/>
      </w:pPr>
      <w:r>
        <w:rPr>
          <w:rFonts w:ascii="Open Sans" w:hAnsi="Open Sans"/>
          <w:b w:val="0"/>
          <w:i w:val="0"/>
          <w:color w:val="59595B"/>
          <w:sz w:val="22"/>
        </w:rPr>
        <w:t>Report generated 2026-05-02 20:00 for client 'KES' covering January 2026 (installations between the 1st and last day of the month, UTC).</w:t>
      </w:r>
    </w:p>
    <w:p>
      <w:pPr>
        <w:spacing w:after="160"/>
      </w:pPr>
      <w:r>
        <w:rPr>
          <w:rFonts w:ascii="Open Sans" w:hAnsi="Open Sans"/>
          <w:b w:val="0"/>
          <w:i w:val="0"/>
          <w:color w:val="59595B"/>
          <w:sz w:val="22"/>
        </w:rPr>
        <w:t>For questions about any item in this report, or to request a different reporting cadence, email support@technijian.com.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