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Kabuki Springs and Spa</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Kabuki Springs and Spa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62</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12</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7</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12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62 alert(s) across 7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34</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KABRESRIGHT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KABFDRIGHT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KSS-HQ-VBR-01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KABDT004</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DoubleExtensionProcess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KSS-HQ-VBR-01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KABRESRIGHT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KABFDRIGHT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KABRESRIGHT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Rundll32RenamedWritten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KSS-HQ-VBR-01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 at 2026-03-31T08:02:17Z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KABFDRIGHT at 2026-03-25T21:07:19Z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KABFDRIGHT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KABDT001 at 2026-03-24T15:56:19Z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KSS-HQ-VBR-01 at 2026-03-26T12:00:19Z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KSS-HQ-VBR-01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KABDT004 at 2026-03-24T06:03:18Z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KABRESRIGHT at 2026-03-29T04:41:49Z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KABRESRIGHT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KABRESRIGHT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KABFDRIGHT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MaliciousNetworkActivity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KABFDRIGHT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 at 2026-03-24T15:58:09Z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KABRESRIGHT at 2026-03-11T10:56:06Z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KABRESRIGHT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KABRESRIGHT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 at 2026-03-19T06:04:18Z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DCSyncAttempted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62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62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CrowdStrike Sensor Updated with Version 7.34.20610.0: KSS-HQ-VBR-01, KSS-HQ-VBR-01 (handled by D. Bhardwaj) — 0.5h of tech effort</w:t>
      </w:r>
    </w:p>
    <w:p>
      <w:pPr>
        <w:pStyle w:val="ListBullet"/>
        <w:spacing w:after="80"/>
      </w:pPr>
      <w:r>
        <w:rPr>
          <w:rFonts w:ascii="Open Sans" w:hAnsi="Open Sans"/>
          <w:b w:val="0"/>
          <w:i w:val="0"/>
          <w:color w:val="59595B"/>
          <w:sz w:val="22"/>
        </w:rPr>
        <w:t>Crowdstrike latest version(7.34.20610.0)updated on machines KABDT003,KABDT005,KABRESLEFT,KABRESRIGHT (handled by S. Sharma) — 0.9h of tech effort</w:t>
      </w:r>
    </w:p>
    <w:p>
      <w:pPr>
        <w:pStyle w:val="ListBullet"/>
        <w:spacing w:after="80"/>
      </w:pPr>
      <w:r>
        <w:rPr>
          <w:rFonts w:ascii="Open Sans" w:hAnsi="Open Sans"/>
          <w:b w:val="0"/>
          <w:i w:val="0"/>
          <w:color w:val="59595B"/>
          <w:sz w:val="22"/>
        </w:rPr>
        <w:t>Crowdstrike latest version (7.34.20610.0) updated on machine:- KSS-HQ-VBR-01, VMKABDC1 (handled by A. Saraf) — 0.5h of tech effort</w:t>
      </w:r>
    </w:p>
    <w:p>
      <w:pPr>
        <w:pStyle w:val="ListBullet"/>
        <w:spacing w:after="80"/>
      </w:pPr>
      <w:r>
        <w:rPr>
          <w:rFonts w:ascii="Open Sans" w:hAnsi="Open Sans"/>
          <w:b w:val="0"/>
          <w:i w:val="0"/>
          <w:color w:val="59595B"/>
          <w:sz w:val="22"/>
        </w:rPr>
        <w:t>Crowdstrike latest version (7.34.20610.0) updated on machine (handled by D. Bhardwaj) — 0.5h of tech effort</w:t>
      </w:r>
    </w:p>
    <w:p>
      <w:pPr>
        <w:pStyle w:val="ListBullet"/>
        <w:spacing w:after="80"/>
      </w:pPr>
      <w:r>
        <w:rPr>
          <w:rFonts w:ascii="Open Sans" w:hAnsi="Open Sans"/>
          <w:b w:val="0"/>
          <w:i w:val="0"/>
          <w:color w:val="59595B"/>
          <w:sz w:val="22"/>
        </w:rPr>
        <w:t>Crowdstrike latest version (7.34.20610.0) updated on machine:- KABDT001, KABDT002, KABFDBACK (handled by Y. Kumar) — 0.8h of tech effort</w:t>
      </w:r>
    </w:p>
    <w:p>
      <w:pPr>
        <w:pStyle w:val="ListBullet"/>
        <w:spacing w:after="80"/>
      </w:pPr>
      <w:r>
        <w:rPr>
          <w:rFonts w:ascii="Open Sans" w:hAnsi="Open Sans"/>
          <w:b w:val="0"/>
          <w:i w:val="0"/>
          <w:color w:val="59595B"/>
          <w:sz w:val="22"/>
        </w:rPr>
        <w:t>Crowdstrike latest version((7.34.20610.0))updated on machines : KABFDLEFT and KABFDRIGHT (handled by S. Kumar) — 0.5h of tech effort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KABRESRIGHT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KABRESRIGHT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Rundll32RenamedWritten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PWDump2.Untrusted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GenericUserExecution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KABRESRIGHT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PortScanningRdpThresholdHigh</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Hospitality. Based on that classification, the data Technijian's stack is helping protect is most likely characterized as: PCI / Guest PII.</w:t>
      </w:r>
    </w:p>
    <w:p>
      <w:pPr>
        <w:spacing w:after="160"/>
      </w:pPr>
      <w:r>
        <w:rPr>
          <w:rFonts w:ascii="Open Sans" w:hAnsi="Open Sans"/>
          <w:b w:val="0"/>
          <w:i w:val="0"/>
          <w:color w:val="59595B"/>
          <w:sz w:val="21"/>
        </w:rPr>
        <w:t>Hotels and spas process card-present and card-not-present transactions, putting them firmly in PCI DSS scope. Guest PII (passport scans, ID) drives CCPA and state breach-notification obligations.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