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ook w:firstColumn="1" w:firstRow="1" w:lastColumn="0" w:lastRow="0" w:noHBand="0" w:noVBand="1" w:val="04A0"/>
      </w:tblPr>
      <w:tblGrid>
        <w:gridCol w:w="9360"/>
      </w:tblGrid>
      <w:tr>
        <w:tc>
          <w:tcPr>
            <w:tcW w:type="dxa" w:w="9360"/>
            <w:shd w:val="clear" w:color="auto" w:fill="006DB6"/>
            <w:tcBorders>
              <w:top w:val="nil"/>
              <w:left w:val="nil"/>
              <w:bottom w:val="nil"/>
              <w:right w:val="nil"/>
              <w:insideH w:val="nil"/>
              <w:insideV w:val="nil"/>
            </w:tcBorders>
          </w:tcPr>
          <w:p>
            <w:pPr>
              <w:spacing w:before="0" w:after="0"/>
            </w:pPr>
            <w:r>
              <w:rPr>
                <w:sz w:val="12"/>
              </w:rPr>
            </w:r>
          </w:p>
        </w:tc>
      </w:tr>
    </w:tbl>
    <w:p/>
    <w:p/>
    <w:p/>
    <w:p>
      <w:pPr>
        <w:jc w:val="center"/>
      </w:pPr>
      <w:r>
        <w:drawing>
          <wp:inline xmlns:a="http://schemas.openxmlformats.org/drawingml/2006/main" xmlns:pic="http://schemas.openxmlformats.org/drawingml/2006/picture">
            <wp:extent cx="2743200" cy="571500"/>
            <wp:docPr id="1" name="Picture 1"/>
            <wp:cNvGraphicFramePr>
              <a:graphicFrameLocks noChangeAspect="1"/>
            </wp:cNvGraphicFramePr>
            <a:graphic>
              <a:graphicData uri="http://schemas.openxmlformats.org/drawingml/2006/picture">
                <pic:pic>
                  <pic:nvPicPr>
                    <pic:cNvPr id="0" name="technijian-logo-full-color-600x125.png"/>
                    <pic:cNvPicPr/>
                  </pic:nvPicPr>
                  <pic:blipFill>
                    <a:blip r:embed="rId11"/>
                    <a:stretch>
                      <a:fillRect/>
                    </a:stretch>
                  </pic:blipFill>
                  <pic:spPr>
                    <a:xfrm>
                      <a:off x="0" y="0"/>
                      <a:ext cx="2743200" cy="571500"/>
                    </a:xfrm>
                    <a:prstGeom prst="rect"/>
                  </pic:spPr>
                </pic:pic>
              </a:graphicData>
            </a:graphic>
          </wp:inline>
        </w:drawing>
      </w:r>
    </w:p>
    <w:p/>
    <w:p/>
    <w:tbl>
      <w:tblPr>
        <w:tblW w:type="auto" w:w="0"/>
        <w:tblLayout w:type="fixed"/>
        <w:tblLook w:firstColumn="1" w:firstRow="1" w:lastColumn="0" w:lastRow="0" w:noHBand="0" w:noVBand="1" w:val="04A0"/>
      </w:tblPr>
      <w:tblGrid>
        <w:gridCol w:w="3120"/>
        <w:gridCol w:w="3120"/>
        <w:gridCol w:w="3120"/>
      </w:tblGrid>
      <w:tr>
        <w:tc>
          <w:tcPr>
            <w:tcW w:type="dxa" w:w="3528"/>
            <w:tcBorders>
              <w:top w:val="nil"/>
              <w:left w:val="nil"/>
              <w:bottom w:val="nil"/>
              <w:right w:val="nil"/>
              <w:insideH w:val="nil"/>
              <w:insideV w:val="nil"/>
            </w:tcBorders>
          </w:tcPr>
          <w:p/>
        </w:tc>
        <w:tc>
          <w:tcPr>
            <w:tcW w:type="dxa" w:w="2160"/>
            <w:tcBorders>
              <w:top w:val="nil"/>
              <w:left w:val="nil"/>
              <w:bottom w:val="nil"/>
              <w:right w:val="nil"/>
              <w:insideH w:val="nil"/>
              <w:insideV w:val="nil"/>
            </w:tcBorders>
            <w:shd w:val="clear" w:color="auto" w:fill="F67D4B"/>
          </w:tcPr>
          <w:p>
            <w:pPr>
              <w:spacing w:before="0" w:after="0"/>
            </w:pPr>
            <w:r>
              <w:rPr>
                <w:sz w:val="6"/>
              </w:rPr>
            </w:r>
          </w:p>
        </w:tc>
        <w:tc>
          <w:tcPr>
            <w:tcW w:type="dxa" w:w="3528"/>
            <w:tcBorders>
              <w:top w:val="nil"/>
              <w:left w:val="nil"/>
              <w:bottom w:val="nil"/>
              <w:right w:val="nil"/>
              <w:insideH w:val="nil"/>
              <w:insideV w:val="nil"/>
            </w:tcBorders>
          </w:tcPr>
          <w:p/>
        </w:tc>
      </w:tr>
    </w:tbl>
    <w:p/>
    <w:p>
      <w:pPr>
        <w:jc w:val="center"/>
      </w:pPr>
      <w:r>
        <w:rPr>
          <w:rFonts w:ascii="Open Sans" w:hAnsi="Open Sans"/>
          <w:b/>
          <w:i w:val="0"/>
          <w:color w:val="1A1A2E"/>
          <w:sz w:val="56"/>
        </w:rPr>
        <w:t>CrowdStrike Security Activity Report</w:t>
      </w:r>
    </w:p>
    <w:p>
      <w:pPr>
        <w:spacing w:after="120"/>
        <w:jc w:val="center"/>
      </w:pPr>
      <w:r>
        <w:rPr>
          <w:rFonts w:ascii="Open Sans" w:hAnsi="Open Sans"/>
          <w:b w:val="0"/>
          <w:i w:val="0"/>
          <w:color w:val="59595B"/>
          <w:sz w:val="32"/>
        </w:rPr>
        <w:t>Max Pro Leasing</w:t>
      </w:r>
    </w:p>
    <w:p>
      <w:pPr>
        <w:jc w:val="center"/>
      </w:pPr>
      <w:r>
        <w:rPr>
          <w:rFonts w:ascii="Open Sans" w:hAnsi="Open Sans"/>
          <w:b w:val="0"/>
          <w:i w:val="0"/>
          <w:color w:val="59595B"/>
          <w:sz w:val="24"/>
        </w:rPr>
        <w:t>March 2026</w:t>
      </w:r>
    </w:p>
    <w:p/>
    <w:p/>
    <w:p/>
    <w:p/>
    <w:p/>
    <w:p/>
    <w:tbl>
      <w:tblPr>
        <w:tblW w:type="auto" w:w="0"/>
        <w:tblLook w:firstColumn="1" w:firstRow="1" w:lastColumn="0" w:lastRow="0" w:noHBand="0" w:noVBand="1" w:val="04A0"/>
      </w:tblPr>
      <w:tblGrid>
        <w:gridCol w:w="9360"/>
      </w:tblGrid>
      <w:tr>
        <w:tc>
          <w:tcPr>
            <w:tcW w:type="dxa" w:w="9360"/>
            <w:shd w:val="clear" w:color="auto" w:fill="F67D4B"/>
            <w:tcBorders>
              <w:top w:val="nil"/>
              <w:left w:val="nil"/>
              <w:bottom w:val="nil"/>
              <w:right w:val="nil"/>
              <w:insideH w:val="nil"/>
              <w:insideV w:val="nil"/>
            </w:tcBorders>
          </w:tcPr>
          <w:p>
            <w:pPr>
              <w:spacing w:before="0" w:after="0"/>
            </w:pPr>
            <w:r>
              <w:rPr>
                <w:sz w:val="12"/>
              </w:rPr>
            </w:r>
          </w:p>
        </w:tc>
      </w:tr>
    </w:tbl>
    <w:p>
      <w:pPr>
        <w:spacing w:before="160"/>
        <w:jc w:val="center"/>
      </w:pPr>
      <w:r>
        <w:rPr>
          <w:rFonts w:ascii="Open Sans" w:hAnsi="Open Sans"/>
          <w:b w:val="0"/>
          <w:i/>
          <w:color w:val="59595B"/>
          <w:sz w:val="18"/>
        </w:rPr>
        <w:t>Confidential — prepared by Technijian for the named client only.</w:t>
      </w:r>
    </w:p>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Executive Summary</w:t>
            </w:r>
          </w:p>
        </w:tc>
      </w:tr>
    </w:tbl>
    <w:p>
      <w:pPr>
        <w:spacing w:after="160"/>
      </w:pPr>
      <w:r>
        <w:rPr>
          <w:rFonts w:ascii="Open Sans" w:hAnsi="Open Sans"/>
          <w:b w:val="0"/>
          <w:i w:val="0"/>
          <w:color w:val="59595B"/>
          <w:sz w:val="22"/>
        </w:rPr>
        <w:t>This report summarizes the cybersecurity activity Technijian delivered for Max Pro Leasing during March 2026. The CrowdStrike Falcon endpoint detection and response (EDR) platform protected your environment and Technijian's security operations team reviewed every alert. Below is a plain-English summary of what was detected, what we did about it, and where you stand today.</w:t>
      </w:r>
    </w:p>
    <w:tbl>
      <w:tblPr>
        <w:tblW w:type="auto" w:w="0"/>
        <w:tblLayout w:type="fixed"/>
        <w:tblLook w:firstColumn="1" w:firstRow="1" w:lastColumn="0" w:lastRow="0" w:noHBand="0" w:noVBand="1" w:val="04A0"/>
      </w:tblPr>
      <w:tblGrid>
        <w:gridCol w:w="2340"/>
        <w:gridCol w:w="2340"/>
        <w:gridCol w:w="2340"/>
        <w:gridCol w:w="2340"/>
      </w:tblGrid>
      <w:tr>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006DB6"/>
                <w:sz w:val="48"/>
              </w:rPr>
              <w:t>17</w:t>
            </w:r>
          </w:p>
          <w:p>
            <w:pPr>
              <w:spacing w:before="0" w:after="240"/>
              <w:jc w:val="center"/>
            </w:pPr>
            <w:r>
              <w:rPr>
                <w:rFonts w:ascii="Open Sans" w:hAnsi="Open Sans"/>
                <w:b w:val="0"/>
                <w:i w:val="0"/>
                <w:color w:val="59595B"/>
                <w:sz w:val="20"/>
              </w:rPr>
              <w:t>Total Alerts</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CC0000"/>
                <w:sz w:val="48"/>
              </w:rPr>
              <w:t>3</w:t>
            </w:r>
          </w:p>
          <w:p>
            <w:pPr>
              <w:spacing w:before="0" w:after="240"/>
              <w:jc w:val="center"/>
            </w:pPr>
            <w:r>
              <w:rPr>
                <w:rFonts w:ascii="Open Sans" w:hAnsi="Open Sans"/>
                <w:b w:val="0"/>
                <w:i w:val="0"/>
                <w:color w:val="59595B"/>
                <w:sz w:val="20"/>
              </w:rPr>
              <w:t>Critical / High</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F67D4B"/>
                <w:sz w:val="48"/>
              </w:rPr>
              <w:t>3</w:t>
            </w:r>
          </w:p>
          <w:p>
            <w:pPr>
              <w:spacing w:before="0" w:after="240"/>
              <w:jc w:val="center"/>
            </w:pPr>
            <w:r>
              <w:rPr>
                <w:rFonts w:ascii="Open Sans" w:hAnsi="Open Sans"/>
                <w:b w:val="0"/>
                <w:i w:val="0"/>
                <w:color w:val="59595B"/>
                <w:sz w:val="20"/>
              </w:rPr>
              <w:t>Hosts Affected</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1EAAC8"/>
                <w:sz w:val="48"/>
              </w:rPr>
              <w:t>2</w:t>
            </w:r>
          </w:p>
          <w:p>
            <w:pPr>
              <w:spacing w:before="0" w:after="240"/>
              <w:jc w:val="center"/>
            </w:pPr>
            <w:r>
              <w:rPr>
                <w:rFonts w:ascii="Open Sans" w:hAnsi="Open Sans"/>
                <w:b w:val="0"/>
                <w:i w:val="0"/>
                <w:color w:val="59595B"/>
                <w:sz w:val="20"/>
              </w:rPr>
              <w:t>Alert Categories</w:t>
            </w:r>
          </w:p>
        </w:tc>
      </w:tr>
    </w:tbl>
    <w:tbl>
      <w:tblPr>
        <w:tblW w:type="auto" w:w="0"/>
        <w:tblLook w:firstColumn="1" w:firstRow="1" w:lastColumn="0" w:lastRow="0" w:noHBand="0" w:noVBand="1" w:val="04A0"/>
      </w:tblPr>
      <w:tblGrid>
        <w:gridCol w:w="9360"/>
      </w:tblGrid>
      <w:tr>
        <w:tc>
          <w:tcPr>
            <w:tcW w:type="dxa" w:w="9360"/>
            <w:shd w:val="clear" w:color="auto" w:fill="FFEEEE"/>
            <w:tcBorders>
              <w:top w:val="single" w:sz="12" w:color="CC0000"/>
              <w:left w:val="single" w:sz="12" w:color="CC0000"/>
              <w:bottom w:val="single" w:sz="12" w:color="CC0000"/>
              <w:right w:val="single" w:sz="12" w:color="CC0000"/>
            </w:tcBorders>
          </w:tcPr>
          <w:p>
            <w:pPr>
              <w:spacing w:before="120" w:after="120"/>
            </w:pPr>
            <w:r>
              <w:rPr>
                <w:rFonts w:ascii="Open Sans" w:hAnsi="Open Sans"/>
                <w:b w:val="0"/>
                <w:i w:val="0"/>
                <w:color w:val="1A1A2E"/>
                <w:sz w:val="22"/>
              </w:rPr>
              <w:t>3 Critical or High severity alert(s) were raised this month. See the Threat Activity section for details and recommended actions.</w:t>
            </w:r>
          </w:p>
        </w:tc>
      </w:tr>
    </w:tbl>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Threat Activity This Month</w:t>
            </w:r>
          </w:p>
        </w:tc>
      </w:tr>
    </w:tbl>
    <w:p>
      <w:pPr>
        <w:spacing w:after="160"/>
      </w:pPr>
      <w:r>
        <w:rPr>
          <w:rFonts w:ascii="Open Sans" w:hAnsi="Open Sans"/>
          <w:b w:val="0"/>
          <w:i w:val="0"/>
          <w:color w:val="59595B"/>
          <w:sz w:val="22"/>
        </w:rPr>
        <w:t>During March 2026, CrowdStrike Falcon raised 17 alert(s) across 3 endpoint(s). Each alert was reviewed by Technijian's security operations team. The breakdown below shows what was detected and at what severity.</w:t>
      </w:r>
    </w:p>
    <w:p/>
    <w:p>
      <w:pPr>
        <w:spacing w:after="160"/>
      </w:pPr>
      <w:r>
        <w:rPr>
          <w:rFonts w:ascii="Open Sans" w:hAnsi="Open Sans"/>
          <w:b/>
          <w:i w:val="0"/>
          <w:color w:val="1A1A2E"/>
          <w:sz w:val="24"/>
        </w:rPr>
        <w:t>Alerts by severity</w:t>
      </w:r>
    </w:p>
    <w:tbl>
      <w:tblPr>
        <w:tblW w:type="auto" w:w="0"/>
        <w:tblLayout w:type="fixed"/>
        <w:tblLook w:firstColumn="1" w:firstRow="1" w:lastColumn="0" w:lastRow="0" w:noHBand="0" w:noVBand="1" w:val="04A0"/>
      </w:tblPr>
      <w:tblGrid>
        <w:gridCol w:w="4680"/>
        <w:gridCol w:w="4680"/>
      </w:tblGrid>
      <w:tr>
        <w:tc>
          <w:tcPr>
            <w:tcW w:type="dxa" w:w="504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Severity</w:t>
            </w:r>
          </w:p>
        </w:tc>
        <w:tc>
          <w:tcPr>
            <w:tcW w:type="dxa" w:w="360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Count</w:t>
            </w:r>
          </w:p>
        </w:tc>
      </w:tr>
      <w:tr>
        <w:tc>
          <w:tcPr>
            <w:tcW w:type="dxa" w:w="504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Critical</w:t>
            </w:r>
          </w:p>
        </w:tc>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r>
      <w:tr>
        <w:tc>
          <w:tcPr>
            <w:tcW w:type="dxa" w:w="50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r>
      <w:tr>
        <w:tc>
          <w:tcPr>
            <w:tcW w:type="dxa" w:w="504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1EAAC8"/>
                <w:sz w:val="19"/>
              </w:rPr>
              <w:t>Medium</w:t>
            </w:r>
          </w:p>
        </w:tc>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r>
      <w:tr>
        <w:tc>
          <w:tcPr>
            <w:tcW w:type="dxa" w:w="50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Low</w:t>
            </w:r>
          </w:p>
        </w:tc>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r>
      <w:tr>
        <w:tc>
          <w:tcPr>
            <w:tcW w:type="dxa" w:w="50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11</w:t>
            </w:r>
          </w:p>
        </w:tc>
      </w:tr>
    </w:tbl>
    <w:p/>
    <w:p>
      <w:pPr>
        <w:spacing w:after="160"/>
      </w:pPr>
      <w:r>
        <w:rPr>
          <w:rFonts w:ascii="Open Sans" w:hAnsi="Open Sans"/>
          <w:b/>
          <w:i w:val="0"/>
          <w:color w:val="1A1A2E"/>
          <w:sz w:val="24"/>
        </w:rPr>
        <w:t>Detection categories</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Category</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Count</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Detection Signal</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13</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Correlated Alert</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4</w:t>
            </w:r>
          </w:p>
        </w:tc>
      </w:tr>
    </w:tbl>
    <w:p/>
    <w:p>
      <w:pPr>
        <w:spacing w:after="160"/>
      </w:pPr>
      <w:r>
        <w:rPr>
          <w:rFonts w:ascii="Open Sans" w:hAnsi="Open Sans"/>
          <w:b/>
          <w:i w:val="0"/>
          <w:color w:val="1A1A2E"/>
          <w:sz w:val="24"/>
        </w:rPr>
        <w:t>MITRE ATT&amp;CK tactics observed</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Tactic</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Alerts</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Discovery</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6</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Credential Access</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5</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Command and Control</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Defense Evasion</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w:t>
            </w:r>
          </w:p>
        </w:tc>
      </w:tr>
    </w:tbl>
    <w:p/>
    <w:p>
      <w:pPr>
        <w:spacing w:after="160"/>
      </w:pPr>
      <w:r>
        <w:rPr>
          <w:rFonts w:ascii="Open Sans" w:hAnsi="Open Sans"/>
          <w:b/>
          <w:i w:val="0"/>
          <w:color w:val="1A1A2E"/>
          <w:sz w:val="24"/>
        </w:rPr>
        <w:t>Most active endpoints</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Hostname</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Alert Count</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AKT-DC-FS-01</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8</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MAX-DC-VDI-002</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5</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MAX-DC-VDI-GI</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4</w:t>
            </w:r>
          </w:p>
        </w:tc>
      </w:tr>
    </w:tbl>
    <w:p/>
    <w:p>
      <w:pPr>
        <w:spacing w:after="160"/>
      </w:pPr>
      <w:r>
        <w:rPr>
          <w:rFonts w:ascii="Open Sans" w:hAnsi="Open Sans"/>
          <w:b/>
          <w:i w:val="0"/>
          <w:color w:val="1A1A2E"/>
          <w:sz w:val="24"/>
        </w:rPr>
        <w:t>Alert detail</w:t>
      </w:r>
    </w:p>
    <w:tbl>
      <w:tblPr>
        <w:tblW w:type="auto" w:w="0"/>
        <w:tblLayout w:type="fixed"/>
        <w:tblLook w:firstColumn="1" w:firstRow="1" w:lastColumn="0" w:lastRow="0" w:noHBand="0" w:noVBand="1" w:val="04A0"/>
      </w:tblPr>
      <w:tblGrid>
        <w:gridCol w:w="1560"/>
        <w:gridCol w:w="1560"/>
        <w:gridCol w:w="1560"/>
        <w:gridCol w:w="1560"/>
        <w:gridCol w:w="1560"/>
        <w:gridCol w:w="1560"/>
      </w:tblGrid>
      <w:tr>
        <w:tc>
          <w:tcPr>
            <w:tcW w:type="dxa" w:w="129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Date</w:t>
            </w:r>
          </w:p>
        </w:tc>
        <w:tc>
          <w:tcPr>
            <w:tcW w:type="dxa" w:w="1152"/>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Severity</w:t>
            </w:r>
          </w:p>
        </w:tc>
        <w:tc>
          <w:tcPr>
            <w:tcW w:type="dxa" w:w="244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Alert Name</w:t>
            </w:r>
          </w:p>
        </w:tc>
        <w:tc>
          <w:tcPr>
            <w:tcW w:type="dxa" w:w="172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Host</w:t>
            </w:r>
          </w:p>
        </w:tc>
        <w:tc>
          <w:tcPr>
            <w:tcW w:type="dxa" w:w="172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Tactic</w:t>
            </w:r>
          </w:p>
        </w:tc>
        <w:tc>
          <w:tcPr>
            <w:tcW w:type="dxa" w:w="100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Status</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AKT-DC-FS-01 at 2026-03-25T15:01:43Z</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AKT-DC-FS-01</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Closed</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GenericSystemNetworkConfigDiscovery</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MAX-DC-VDI-002</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Discovery</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ParallelPortScanning</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AKT-DC-FS-01</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Discovery</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GenericSystemInfoDiscovery</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MAX-DC-VDI-002</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Discovery</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GenericSystemNetworkConfigDiscovery</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AKT-DC-FS-01</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Discovery</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MAX-DC-VDI-002 at 2026-03-31T00:07:33Z</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MAX-DC-VDI-002</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Closed</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GenericSystemInfoDiscovery</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AKT-DC-FS-01</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Discovery</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PWDump2.Untrusted</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MAX-DC-VDI-002</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Credential Access</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SuspiciousRMMUsage</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MAX-DC-VDI-002</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Command and Control</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1EAAC8"/>
                <w:sz w:val="19"/>
              </w:rPr>
              <w:t>Medium</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DoubleExtensionWritten</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MAX-DC-VDI-GI</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Defense Evasion</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MAX-DC-VDI-GI at 2026-03-17T18:22:06Z</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MAX-DC-VDI-GI</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Closed</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ChromeLoginDataAccessed</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MAX-DC-VDI-GI</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Credential Access</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SAMHashDump.Untrusted</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MAX-DC-VDI-GI</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Credential Access</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1EAAC8"/>
                <w:sz w:val="19"/>
              </w:rPr>
              <w:t>Medium</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SuspiciousRMMUsage</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AKT-DC-FS-01</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Command and Control</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Critical</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UmppcBypassSuspected</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AKT-DC-FS-01</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Defense Evasion</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Low</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DCSyncAttempted</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AKT-DC-FS-01</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Credential Access</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AKT-DC-FS-01 at 2026-03-05T18:20:59Z</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AKT-DC-FS-01</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Closed</w:t>
            </w:r>
          </w:p>
        </w:tc>
      </w:tr>
    </w:tbl>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What Technijian Did For You</w:t>
            </w:r>
          </w:p>
        </w:tc>
      </w:tr>
    </w:tbl>
    <w:p>
      <w:pPr>
        <w:pStyle w:val="ListBullet"/>
        <w:spacing w:after="80"/>
      </w:pPr>
      <w:r>
        <w:rPr>
          <w:rFonts w:ascii="Open Sans" w:hAnsi="Open Sans"/>
          <w:b/>
          <w:i w:val="0"/>
          <w:color w:val="1A1A2E"/>
          <w:sz w:val="22"/>
        </w:rPr>
        <w:t xml:space="preserve">Continuous monitoring. </w:t>
      </w:r>
      <w:r>
        <w:rPr>
          <w:rFonts w:ascii="Open Sans" w:hAnsi="Open Sans"/>
          <w:b w:val="0"/>
          <w:i w:val="0"/>
          <w:color w:val="59595B"/>
          <w:sz w:val="22"/>
        </w:rPr>
        <w:t>CrowdStrike Falcon monitored your endpoints 24x7 using behavioral AI and threat intelligence. Every process, network connection, and file operation was inspected in real time.</w:t>
      </w:r>
    </w:p>
    <w:p>
      <w:pPr>
        <w:pStyle w:val="ListBullet"/>
        <w:spacing w:after="80"/>
      </w:pPr>
      <w:r>
        <w:rPr>
          <w:rFonts w:ascii="Open Sans" w:hAnsi="Open Sans"/>
          <w:b/>
          <w:i w:val="0"/>
          <w:color w:val="1A1A2E"/>
          <w:sz w:val="22"/>
        </w:rPr>
        <w:t xml:space="preserve">Alert triage. </w:t>
      </w:r>
      <w:r>
        <w:rPr>
          <w:rFonts w:ascii="Open Sans" w:hAnsi="Open Sans"/>
          <w:b w:val="0"/>
          <w:i w:val="0"/>
          <w:color w:val="59595B"/>
          <w:sz w:val="22"/>
        </w:rPr>
        <w:t>Our security operations team reviewed all 17 alert(s) raised this month and classified each by severity and risk.</w:t>
      </w:r>
    </w:p>
    <w:p>
      <w:pPr>
        <w:pStyle w:val="ListBullet"/>
        <w:spacing w:after="80"/>
      </w:pPr>
      <w:r>
        <w:rPr>
          <w:rFonts w:ascii="Open Sans" w:hAnsi="Open Sans"/>
          <w:b/>
          <w:i w:val="0"/>
          <w:color w:val="1A1A2E"/>
          <w:sz w:val="22"/>
        </w:rPr>
        <w:t xml:space="preserve">Threat intelligence. </w:t>
      </w:r>
      <w:r>
        <w:rPr>
          <w:rFonts w:ascii="Open Sans" w:hAnsi="Open Sans"/>
          <w:b w:val="0"/>
          <w:i w:val="0"/>
          <w:color w:val="59595B"/>
          <w:sz w:val="22"/>
        </w:rPr>
        <w:t>Detections were cross-referenced with CrowdStrike's global threat intelligence database and MITRE ATT&amp;CK framework to identify adversary tactics and techniques.</w:t>
      </w:r>
    </w:p>
    <w:p>
      <w:pPr>
        <w:pStyle w:val="ListBullet"/>
        <w:spacing w:after="80"/>
      </w:pPr>
      <w:r>
        <w:rPr>
          <w:rFonts w:ascii="Open Sans" w:hAnsi="Open Sans"/>
          <w:b/>
          <w:i w:val="0"/>
          <w:color w:val="1A1A2E"/>
          <w:sz w:val="22"/>
        </w:rPr>
        <w:t xml:space="preserve">Incident coordination. </w:t>
      </w:r>
      <w:r>
        <w:rPr>
          <w:rFonts w:ascii="Open Sans" w:hAnsi="Open Sans"/>
          <w:b w:val="0"/>
          <w:i w:val="0"/>
          <w:color w:val="59595B"/>
          <w:sz w:val="22"/>
        </w:rPr>
        <w:t>No escalated incidents required response this month. All detections were resolved within normal triage workflow.</w:t>
      </w:r>
    </w:p>
    <w:p>
      <w:pPr>
        <w:pStyle w:val="ListBullet"/>
        <w:spacing w:after="80"/>
      </w:pPr>
      <w:r>
        <w:rPr>
          <w:rFonts w:ascii="Open Sans" w:hAnsi="Open Sans"/>
          <w:b/>
          <w:i w:val="0"/>
          <w:color w:val="1A1A2E"/>
          <w:sz w:val="22"/>
        </w:rPr>
        <w:t xml:space="preserve">Posture data captured. </w:t>
      </w:r>
      <w:r>
        <w:rPr>
          <w:rFonts w:ascii="Open Sans" w:hAnsi="Open Sans"/>
          <w:b w:val="0"/>
          <w:i w:val="0"/>
          <w:color w:val="59595B"/>
          <w:sz w:val="22"/>
        </w:rPr>
        <w:t>Endpoint inventory, sensor version, and detection telemetry were captured to support your security posture reviews and compliance reporting.</w:t>
      </w:r>
    </w:p>
    <w:p>
      <w:pPr>
        <w:spacing w:after="160"/>
      </w:pPr>
      <w:r>
        <w:rPr>
          <w:rFonts w:ascii="Open Sans" w:hAnsi="Open Sans"/>
          <w:b/>
          <w:i w:val="0"/>
          <w:color w:val="1A1A2E"/>
          <w:sz w:val="24"/>
        </w:rPr>
        <w:t>Specific work delivered this month</w:t>
      </w:r>
    </w:p>
    <w:p>
      <w:pPr>
        <w:spacing w:after="160"/>
      </w:pPr>
      <w:r>
        <w:rPr>
          <w:rFonts w:ascii="Open Sans" w:hAnsi="Open Sans"/>
          <w:b w:val="0"/>
          <w:i w:val="0"/>
          <w:color w:val="59595B"/>
          <w:sz w:val="22"/>
        </w:rPr>
        <w:t>These items are pulled directly from the time entries and tickets logged by Technijian's team during the period — actual work, not estimates.</w:t>
      </w:r>
    </w:p>
    <w:p>
      <w:pPr>
        <w:pStyle w:val="ListBullet"/>
        <w:spacing w:after="80"/>
      </w:pPr>
      <w:r>
        <w:rPr>
          <w:rFonts w:ascii="Open Sans" w:hAnsi="Open Sans"/>
          <w:b w:val="0"/>
          <w:i w:val="0"/>
          <w:color w:val="59595B"/>
          <w:sz w:val="22"/>
        </w:rPr>
        <w:t>Crowdstrike latest version(7.34.20610.0)updated on machines AKT-DC-FS-01,MAX-DC-AD-01,MAX-DC-VDI-001,MAX-DC-VDI-002 (handled by A. Saraf) — 1.0h of tech effort</w:t>
      </w:r>
    </w:p>
    <w:p>
      <w:pPr>
        <w:pStyle w:val="ListBullet"/>
        <w:spacing w:after="80"/>
      </w:pPr>
      <w:r>
        <w:rPr>
          <w:rFonts w:ascii="Open Sans" w:hAnsi="Open Sans"/>
          <w:b w:val="0"/>
          <w:i w:val="0"/>
          <w:color w:val="59595B"/>
          <w:sz w:val="22"/>
        </w:rPr>
        <w:t>Crowdstrike latest version(7.34.20610.0)updated on machines AKT-DC-FS-01,MAX-DC-AD-01,MAX-DC-VDI-001,MAX-DC-VDI-002 — 1.0h on 2026-03-16</w:t>
      </w:r>
    </w:p>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Industry News &amp; Vendor Innovations</w:t>
            </w:r>
          </w:p>
        </w:tc>
      </w:tr>
    </w:tbl>
    <w:p>
      <w:pPr>
        <w:spacing w:after="160"/>
      </w:pPr>
      <w:r>
        <w:rPr>
          <w:rFonts w:ascii="Open Sans" w:hAnsi="Open Sans"/>
          <w:b w:val="0"/>
          <w:i w:val="0"/>
          <w:color w:val="59595B"/>
          <w:sz w:val="22"/>
        </w:rPr>
        <w:t>CrowdStrike announced no major platform changes this month. Routine detection-content updates and sensor improvements continued to roll out automatically. Technijian tracks CrowdStrike's release notes monthly so future updates land in this section as they're published.</w:t>
      </w:r>
    </w:p>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Recommendations</w:t>
            </w:r>
          </w:p>
        </w:tc>
      </w:tr>
    </w:tbl>
    <w:p>
      <w:pPr>
        <w:spacing w:after="160"/>
      </w:pPr>
      <w:r>
        <w:rPr>
          <w:rFonts w:ascii="Open Sans" w:hAnsi="Open Sans"/>
          <w:b/>
          <w:i w:val="0"/>
          <w:color w:val="1A1A2E"/>
          <w:sz w:val="24"/>
        </w:rPr>
        <w:t>Review and close open Critical/High alerts</w:t>
      </w:r>
    </w:p>
    <w:tbl>
      <w:tblPr>
        <w:tblW w:type="auto" w:w="0"/>
        <w:tblLayout w:type="fixed"/>
        <w:tblLook w:firstColumn="1" w:firstRow="1" w:lastColumn="0" w:lastRow="0" w:noHBand="0" w:noVBand="1" w:val="04A0"/>
      </w:tblPr>
      <w:tblGrid>
        <w:gridCol w:w="1872"/>
        <w:gridCol w:w="1872"/>
        <w:gridCol w:w="1872"/>
        <w:gridCol w:w="1872"/>
        <w:gridCol w:w="1872"/>
      </w:tblGrid>
      <w:tr>
        <w:tc>
          <w:tcPr>
            <w:tcW w:type="dxa" w:w="129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Date</w:t>
            </w:r>
          </w:p>
        </w:tc>
        <w:tc>
          <w:tcPr>
            <w:tcW w:type="dxa" w:w="12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Severity</w:t>
            </w:r>
          </w:p>
        </w:tc>
        <w:tc>
          <w:tcPr>
            <w:tcW w:type="dxa" w:w="3312"/>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Alert Name</w:t>
            </w:r>
          </w:p>
        </w:tc>
        <w:tc>
          <w:tcPr>
            <w:tcW w:type="dxa" w:w="216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Host</w:t>
            </w:r>
          </w:p>
        </w:tc>
        <w:tc>
          <w:tcPr>
            <w:tcW w:type="dxa" w:w="12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Status</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31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ChromeLoginDataAccessed</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MAX-DC-VDI-GI</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31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SAMHashDump.Untrusted</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MAX-DC-VDI-GI</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Critical</w:t>
            </w:r>
          </w:p>
        </w:tc>
        <w:tc>
          <w:tcPr>
            <w:tcW w:type="dxa" w:w="331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UmppcBypassSuspected</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AKT-DC-FS-01</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bl>
    <w:p>
      <w:pPr>
        <w:spacing w:after="160"/>
      </w:pPr>
      <w:r>
        <w:rPr>
          <w:rFonts w:ascii="Open Sans" w:hAnsi="Open Sans"/>
          <w:b w:val="0"/>
          <w:i w:val="0"/>
          <w:color w:val="59595B"/>
          <w:sz w:val="22"/>
        </w:rPr>
        <w:t>Recommended action: email support@technijian.com to review each open Critical/High alert with our team, confirm no further attacker activity is present, and close or suppress confirmed false positives.</w:t>
      </w:r>
    </w:p>
    <w:p/>
    <w:p>
      <w:pPr>
        <w:spacing w:after="160"/>
      </w:pPr>
      <w:r>
        <w:rPr>
          <w:rFonts w:ascii="Open Sans" w:hAnsi="Open Sans"/>
          <w:b/>
          <w:i w:val="0"/>
          <w:color w:val="1A1A2E"/>
          <w:sz w:val="24"/>
        </w:rPr>
        <w:t>Enable daily host inventory snapshots</w:t>
      </w:r>
    </w:p>
    <w:p>
      <w:pPr>
        <w:spacing w:after="160"/>
      </w:pPr>
      <w:r>
        <w:rPr>
          <w:rFonts w:ascii="Open Sans" w:hAnsi="Open Sans"/>
          <w:b w:val="0"/>
          <w:i w:val="0"/>
          <w:color w:val="59595B"/>
          <w:sz w:val="22"/>
        </w:rPr>
        <w:t>The CrowdStrike daily pull scheduled task has not yet been registered on the Technijian monitoring workstation. Once registered, future reports will include full endpoint inventory with sensor version, OS distribution, and check-in age analysis. Email support@technijian.com to schedule this one-time setup step.</w:t>
      </w:r>
    </w:p>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Compliance Alignment</w:t>
            </w:r>
          </w:p>
        </w:tc>
      </w:tr>
    </w:tbl>
    <w:p>
      <w:pPr>
        <w:spacing w:after="160"/>
      </w:pPr>
      <w:r>
        <w:rPr>
          <w:rFonts w:ascii="Open Sans" w:hAnsi="Open Sans"/>
          <w:b w:val="0"/>
          <w:i w:val="0"/>
          <w:color w:val="59595B"/>
          <w:sz w:val="22"/>
        </w:rPr>
        <w:t>This client's industry classification is Real Estate / Property Management. Based on that classification, the data Technijian's stack is helping protect is most likely characterized as: PCI / Resident PII.</w:t>
      </w:r>
    </w:p>
    <w:p>
      <w:pPr>
        <w:spacing w:after="160"/>
      </w:pPr>
      <w:r>
        <w:rPr>
          <w:rFonts w:ascii="Open Sans" w:hAnsi="Open Sans"/>
          <w:b w:val="0"/>
          <w:i w:val="0"/>
          <w:color w:val="59595B"/>
          <w:sz w:val="21"/>
        </w:rPr>
        <w:t>Property managers process resident payments (rent, deposits, fees), triggering PCI DSS scope. Fair Housing Act records, applicant/resident PII, and California CCPA obligations all apply. Some clients also process credit/background checks bringing FCRA into scope.</w:t>
      </w:r>
    </w:p>
    <w:p>
      <w:pPr>
        <w:spacing w:after="160"/>
      </w:pPr>
      <w:r>
        <w:rPr>
          <w:rFonts w:ascii="Open Sans" w:hAnsi="Open Sans"/>
          <w:b/>
          <w:i w:val="0"/>
          <w:color w:val="1A1A2E"/>
          <w:sz w:val="22"/>
        </w:rPr>
        <w:t>How Technijian's monitoring stack supports each framework:</w:t>
      </w:r>
    </w:p>
    <w:p>
      <w:pPr>
        <w:pStyle w:val="ListBullet"/>
        <w:spacing w:after="80"/>
      </w:pPr>
      <w:r>
        <w:rPr>
          <w:rFonts w:ascii="Open Sans" w:hAnsi="Open Sans"/>
          <w:b/>
          <w:i w:val="0"/>
          <w:color w:val="1A1A2E"/>
          <w:sz w:val="22"/>
        </w:rPr>
        <w:t xml:space="preserve">PCI DSS: </w:t>
      </w:r>
      <w:r>
        <w:rPr>
          <w:rFonts w:ascii="Open Sans" w:hAnsi="Open Sans"/>
          <w:b w:val="0"/>
          <w:i w:val="0"/>
          <w:color w:val="59595B"/>
          <w:sz w:val="22"/>
        </w:rPr>
        <w:t>system patching, anti-malware, and continuous vulnerability monitoring satisfy PCI DSS 4.0 Requirements 5, 6, 11, and 12. Technijian's monthly reports are the audit evidence.</w:t>
      </w:r>
    </w:p>
    <w:p>
      <w:pPr>
        <w:pStyle w:val="ListBullet"/>
        <w:spacing w:after="80"/>
      </w:pPr>
      <w:r>
        <w:rPr>
          <w:rFonts w:ascii="Open Sans" w:hAnsi="Open Sans"/>
          <w:b/>
          <w:i w:val="0"/>
          <w:color w:val="1A1A2E"/>
          <w:sz w:val="22"/>
        </w:rPr>
        <w:t xml:space="preserve">Fair Housing Act: </w:t>
      </w:r>
      <w:r>
        <w:rPr>
          <w:rFonts w:ascii="Open Sans" w:hAnsi="Open Sans"/>
          <w:b w:val="0"/>
          <w:i w:val="0"/>
          <w:color w:val="59595B"/>
          <w:sz w:val="22"/>
        </w:rPr>
        <w:t>audit logs around resident applicant data demonstrate the non-discrimination and recordkeeping controls the Fair Housing Act requires.</w:t>
      </w:r>
    </w:p>
    <w:p>
      <w:pPr>
        <w:pStyle w:val="ListBullet"/>
        <w:spacing w:after="80"/>
      </w:pPr>
      <w:r>
        <w:rPr>
          <w:rFonts w:ascii="Open Sans" w:hAnsi="Open Sans"/>
          <w:b/>
          <w:i w:val="0"/>
          <w:color w:val="1A1A2E"/>
          <w:sz w:val="22"/>
        </w:rPr>
        <w:t xml:space="preserve">California CCPA: </w:t>
      </w:r>
      <w:r>
        <w:rPr>
          <w:rFonts w:ascii="Open Sans" w:hAnsi="Open Sans"/>
          <w:b w:val="0"/>
          <w:i w:val="0"/>
          <w:color w:val="59595B"/>
          <w:sz w:val="22"/>
        </w:rPr>
        <w:t>breach-detection and incident-response capabilities support CCPA §1798.150 reasonable-security obligations and the 72-hour notification window for incidents involving California-resident PII.</w:t>
      </w:r>
    </w:p>
    <w:p>
      <w:pPr>
        <w:spacing w:after="160"/>
      </w:pPr>
      <w:r>
        <w:rPr>
          <w:rFonts w:ascii="Open Sans" w:hAnsi="Open Sans"/>
          <w:b w:val="0"/>
          <w:i w:val="0"/>
          <w:color w:val="59595B"/>
          <w:sz w:val="19"/>
        </w:rPr>
        <w:t>This classification was generated automatically from the client's name and contact-domain signals. If the industry or compliance scope shown here doesn't match your operations, please reply to this report and we'll update the classification — Technijian's team can also produce a deeper compliance-posture report on request.</w:t>
      </w:r>
    </w:p>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How This Protection Works</w:t>
            </w:r>
          </w:p>
        </w:tc>
      </w:tr>
    </w:tbl>
    <w:p>
      <w:pPr>
        <w:spacing w:after="160"/>
      </w:pPr>
      <w:r>
        <w:rPr>
          <w:rFonts w:ascii="Open Sans" w:hAnsi="Open Sans"/>
          <w:b w:val="0"/>
          <w:i w:val="0"/>
          <w:color w:val="59595B"/>
          <w:sz w:val="22"/>
        </w:rPr>
        <w:t>Your endpoints are protected by a layered security stack — CrowdStrike Falcon and Huntress working alongside each other — chosen and managed by Technijian as an MSP best-practice configuration. Here's what each piece does and why we run both.</w:t>
      </w:r>
    </w:p>
    <w:p>
      <w:pPr>
        <w:spacing w:after="160"/>
      </w:pPr>
      <w:r>
        <w:rPr>
          <w:rFonts w:ascii="Open Sans" w:hAnsi="Open Sans"/>
          <w:b/>
          <w:i w:val="0"/>
          <w:color w:val="1A1A2E"/>
          <w:sz w:val="24"/>
        </w:rPr>
        <w:t>CrowdStrike Falcon: AI-driven EDR with the Falcon Overwatch SOC</w:t>
      </w:r>
    </w:p>
    <w:p>
      <w:pPr>
        <w:spacing w:after="160"/>
      </w:pPr>
      <w:r>
        <w:rPr>
          <w:rFonts w:ascii="Open Sans" w:hAnsi="Open Sans"/>
          <w:b w:val="0"/>
          <w:i w:val="0"/>
          <w:color w:val="59595B"/>
          <w:sz w:val="22"/>
        </w:rPr>
        <w:t>CrowdStrike Falcon is the EDR (Endpoint Detection and Response) layer. Falcon's behavioral AI inspects every process, network connection, and file operation on your endpoints in real time and stops identified threats before they can execute. On top of the AI, CrowdStrike's Falcon Overwatch managed-threat-hunting team — the same elite NOC that protects Fortune 500s and government agencies — watches your environment 24×7 looking for the kind of slow, low-and-slow adversary tradecraft that automated detection alone can miss. Overwatch hunters reach out directly when they see something that needs immediate action.</w:t>
      </w:r>
    </w:p>
    <w:p>
      <w:pPr>
        <w:spacing w:after="160"/>
      </w:pPr>
      <w:r>
        <w:rPr>
          <w:rFonts w:ascii="Open Sans" w:hAnsi="Open Sans"/>
          <w:b/>
          <w:i w:val="0"/>
          <w:color w:val="1A1A2E"/>
          <w:sz w:val="24"/>
        </w:rPr>
        <w:t>Huntress: managed detection &amp; response with a 24×7 SOC</w:t>
      </w:r>
    </w:p>
    <w:p>
      <w:pPr>
        <w:spacing w:after="160"/>
      </w:pPr>
      <w:r>
        <w:rPr>
          <w:rFonts w:ascii="Open Sans" w:hAnsi="Open Sans"/>
          <w:b w:val="0"/>
          <w:i w:val="0"/>
          <w:color w:val="59595B"/>
          <w:sz w:val="22"/>
        </w:rPr>
        <w:t>Huntress runs its own Security Operations Center staffed with threat hunters who review every signal that fires on your endpoints around the clock — not just nights and weekends, but 24×7×365. When the Huntress agent flags suspicious behavior (persistence mechanisms, process injection, credential abuse, known-bad files), the activity is examined by Huntress threat hunters BEFORE it ever reaches Technijian. False positives are filtered out at the source so that what does reach our team is signal, not noise. When Huntress sees something that needs attention, they coordinate response with Technijian and provide guided remediation playbooks.</w:t>
      </w:r>
    </w:p>
    <w:p>
      <w:pPr>
        <w:spacing w:after="160"/>
      </w:pPr>
      <w:r>
        <w:rPr>
          <w:rFonts w:ascii="Open Sans" w:hAnsi="Open Sans"/>
          <w:b/>
          <w:i w:val="0"/>
          <w:color w:val="1A1A2E"/>
          <w:sz w:val="24"/>
        </w:rPr>
        <w:t>Why both? Defense in depth.</w:t>
      </w:r>
    </w:p>
    <w:p>
      <w:pPr>
        <w:spacing w:after="160"/>
      </w:pPr>
      <w:r>
        <w:rPr>
          <w:rFonts w:ascii="Open Sans" w:hAnsi="Open Sans"/>
          <w:b w:val="0"/>
          <w:i w:val="0"/>
          <w:color w:val="59595B"/>
          <w:sz w:val="22"/>
        </w:rPr>
        <w:t>CrowdStrike and Huntress are deliberately complementary. CrowdStrike's Falcon is industry-leading nation-state-grade EDR with the broadest telemetry collection and the most mature threat-intel feed in the market. Huntress is tuned for the SMB and mid-market threat landscape — phishing-driven footholds, persistence tradecraft, credential theft, and the kinds of attacks that target managed-service customers. They use different detection styles, different telemetry sources, and different threat-intelligence pipelines.</w:t>
      </w:r>
    </w:p>
    <w:p>
      <w:pPr>
        <w:spacing w:after="160"/>
      </w:pPr>
      <w:r>
        <w:rPr>
          <w:rFonts w:ascii="Open Sans" w:hAnsi="Open Sans"/>
          <w:b w:val="0"/>
          <w:i w:val="0"/>
          <w:color w:val="59595B"/>
          <w:sz w:val="22"/>
        </w:rPr>
        <w:t>Running them together gives your endpoints two independent sets of expert eyes — CrowdStrike's Overwatch team and Huntress's SOC — both watching 24×7. If one platform misses something, the other is extremely likely to catch it. This redundant, layered approach is the configuration Technijian recommends as best-in-class endpoint protection for clients who can't afford a security incident.</w:t>
      </w:r>
    </w:p>
    <w:p/>
    <w:tbl>
      <w:tblPr>
        <w:tblW w:type="auto" w:w="0"/>
        <w:tblLayout w:type="fixed"/>
        <w:tblLook w:firstColumn="1" w:firstRow="1" w:lastColumn="0" w:lastRow="0" w:noHBand="0" w:noVBand="1" w:val="04A0"/>
      </w:tblPr>
      <w:tblGrid>
        <w:gridCol w:w="94"/>
        <w:gridCol w:w="8976"/>
      </w:tblGrid>
      <w:tr>
        <w:tc>
          <w:tcPr>
            <w:tcW w:type="dxa" w:w="94"/>
            <w:shd w:val="clear" w:color="auto" w:fill="F67D4B"/>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F67D4B"/>
                <w:sz w:val="28"/>
              </w:rPr>
              <w:t xml:space="preserve">  About This Report</w:t>
            </w:r>
          </w:p>
        </w:tc>
      </w:tr>
    </w:tbl>
    <w:p>
      <w:pPr>
        <w:spacing w:after="160"/>
      </w:pPr>
      <w:r>
        <w:rPr>
          <w:rFonts w:ascii="Open Sans" w:hAnsi="Open Sans"/>
          <w:b w:val="0"/>
          <w:i w:val="0"/>
          <w:color w:val="59595B"/>
          <w:sz w:val="20"/>
        </w:rPr>
        <w:t>Technijian delivers 24x7 endpoint detection and response (EDR) powered by the CrowdStrike Falcon platform. Activity captured here is pulled directly from the Falcon API for your tenant. Alert and incident data is filtered to the calendar month above. Endpoint inventory, when available, is a point-in-time snapshot taken at report generation.</w:t>
      </w:r>
    </w:p>
    <w:p>
      <w:pPr>
        <w:spacing w:after="160"/>
      </w:pPr>
      <w:r>
        <w:rPr>
          <w:rFonts w:ascii="Open Sans" w:hAnsi="Open Sans"/>
          <w:b w:val="0"/>
          <w:i w:val="0"/>
          <w:color w:val="59595B"/>
          <w:sz w:val="20"/>
        </w:rPr>
        <w:t>Technijian  |  18 Technology Dr., Ste 141, Irvine, CA 92618  |  949.379.8500  |  technijian.com</w:t>
      </w:r>
    </w:p>
    <w:sectPr w:rsidR="00FC693F" w:rsidRPr="0006063C" w:rsidSect="00034616">
      <w:headerReference w:type="default" r:id="rId9"/>
      <w:footerReference w:type="default" r:id="rId10"/>
      <w:pgSz w:w="12240" w:h="15840"/>
      <w:pgMar w:top="1440" w:right="1440" w:bottom="1296"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Open Sans" w:hAnsi="Open Sans"/>
        <w:b w:val="0"/>
        <w:i w:val="0"/>
        <w:color w:val="59595B"/>
        <w:sz w:val="18"/>
      </w:rPr>
      <w:t>Technijian  |  18 Technology Dr., Ste 141, Irvine, CA 92618  |  949.379.8500  |  technijian.com</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drawing>
        <wp:inline xmlns:a="http://schemas.openxmlformats.org/drawingml/2006/main" xmlns:pic="http://schemas.openxmlformats.org/drawingml/2006/picture">
          <wp:extent cx="1554480" cy="323850"/>
          <wp:docPr id="1" name="Picture 1"/>
          <wp:cNvGraphicFramePr>
            <a:graphicFrameLocks noChangeAspect="1"/>
          </wp:cNvGraphicFramePr>
          <a:graphic>
            <a:graphicData uri="http://schemas.openxmlformats.org/drawingml/2006/picture">
              <pic:pic>
                <pic:nvPicPr>
                  <pic:cNvPr id="0" name="technijian-logo-full-color-600x125.png"/>
                  <pic:cNvPicPr/>
                </pic:nvPicPr>
                <pic:blipFill>
                  <a:blip r:embed="rId1"/>
                  <a:stretch>
                    <a:fillRect/>
                  </a:stretch>
                </pic:blipFill>
                <pic:spPr>
                  <a:xfrm>
                    <a:off x="0" y="0"/>
                    <a:ext cx="1554480" cy="323850"/>
                  </a:xfrm>
                  <a:prstGeom prst="rect"/>
                </pic:spPr>
              </pic:pic>
            </a:graphicData>
          </a:graphic>
        </wp:inline>
      </w:drawing>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Open Sans" w:hAnsi="Open Sans"/>
      <w:color w:val="59595B"/>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