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Max Pro Leasing</w:t>
      </w:r>
    </w:p>
    <w:p>
      <w:pPr>
        <w:jc w:val="center"/>
      </w:pPr>
      <w:r>
        <w:rPr>
          <w:rFonts w:ascii="Open Sans" w:hAnsi="Open Sans"/>
          <w:b w:val="0"/>
          <w:i w:val="0"/>
          <w:color w:val="59595B"/>
          <w:sz w:val="24"/>
        </w:rPr>
        <w:t>January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Max Pro Leasing during January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5</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5</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4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2022 Standard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January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5 of 5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6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MAX-DC-VDI-002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MAX-DC-VDI-001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MAX-DC-AD-01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AKT-DC-FS-01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Real Estate / Property Management. Based on that classification, the data Technijian's stack is helping protect is most likely characterized as: PCI / Resident PII.</w:t>
      </w:r>
    </w:p>
    <w:p>
      <w:pPr>
        <w:spacing w:after="160"/>
      </w:pPr>
      <w:r>
        <w:rPr>
          <w:rFonts w:ascii="Open Sans" w:hAnsi="Open Sans"/>
          <w:b w:val="0"/>
          <w:i w:val="0"/>
          <w:color w:val="59595B"/>
          <w:sz w:val="21"/>
        </w:rPr>
        <w:t>Property managers process resident payments (rent, deposits, fees), triggering PCI DSS scope. Fair Housing Act records, applicant/resident PII, and California CCPA obligations all apply. Some clients also process credit/background checks bringing FCRA into scope.</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PCI DSS: </w:t>
      </w:r>
      <w:r>
        <w:rPr>
          <w:rFonts w:ascii="Open Sans" w:hAnsi="Open Sans"/>
          <w:b w:val="0"/>
          <w:i w:val="0"/>
          <w:color w:val="59595B"/>
          <w:sz w:val="22"/>
        </w:rPr>
        <w:t>system patching, anti-malware, and continuous vulnerability monitoring satisfy PCI DSS 4.0 Requirements 5, 6, 11, and 12. Technijian's monthly reports are the audit evidence.</w:t>
      </w:r>
    </w:p>
    <w:p>
      <w:pPr>
        <w:pStyle w:val="ListBullet"/>
        <w:spacing w:after="80"/>
      </w:pPr>
      <w:r>
        <w:rPr>
          <w:rFonts w:ascii="Open Sans" w:hAnsi="Open Sans"/>
          <w:b/>
          <w:i w:val="0"/>
          <w:color w:val="1A1A2E"/>
          <w:sz w:val="22"/>
        </w:rPr>
        <w:t xml:space="preserve">Fair Housing Act: </w:t>
      </w:r>
      <w:r>
        <w:rPr>
          <w:rFonts w:ascii="Open Sans" w:hAnsi="Open Sans"/>
          <w:b w:val="0"/>
          <w:i w:val="0"/>
          <w:color w:val="59595B"/>
          <w:sz w:val="22"/>
        </w:rPr>
        <w:t>audit logs around resident applicant data demonstrate the non-discrimination and recordkeeping controls the Fair Housing Act requires.</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