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Max Pro Leasing</w:t>
      </w:r>
    </w:p>
    <w:p>
      <w:pPr>
        <w:jc w:val="center"/>
      </w:pPr>
      <w:r>
        <w:rPr>
          <w:rFonts w:ascii="Open Sans" w:hAnsi="Open Sans"/>
          <w:b w:val="0"/>
          <w:i w:val="0"/>
          <w:color w:val="59595B"/>
          <w:sz w:val="24"/>
        </w:rPr>
        <w:t>March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Max Pro Leasing during March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5</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5</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4 endpoint(s) with Microsoft Defender or firewall in a non-protected state.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Server 2022 Standard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March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5 of 5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5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pPr>
        <w:spacing w:after="160"/>
      </w:pPr>
      <w:r>
        <w:rPr>
          <w:rFonts w:ascii="Open Sans" w:hAnsi="Open Sans"/>
          <w:b/>
          <w:i w:val="0"/>
          <w:color w:val="1A1A2E"/>
          <w:sz w:val="24"/>
        </w:rPr>
        <w:t>Specific work delivered this month</w:t>
      </w:r>
    </w:p>
    <w:p>
      <w:pPr>
        <w:spacing w:after="160"/>
      </w:pPr>
      <w:r>
        <w:rPr>
          <w:rFonts w:ascii="Open Sans" w:hAnsi="Open Sans"/>
          <w:b w:val="0"/>
          <w:i w:val="0"/>
          <w:color w:val="59595B"/>
          <w:sz w:val="22"/>
        </w:rPr>
        <w:t>These items are pulled directly from the time entries and tickets logged by Technijian's team during the period — actual work, not estimates.</w:t>
      </w:r>
    </w:p>
    <w:p>
      <w:pPr>
        <w:pStyle w:val="ListBullet"/>
        <w:spacing w:after="80"/>
      </w:pPr>
      <w:r>
        <w:rPr>
          <w:rFonts w:ascii="Open Sans" w:hAnsi="Open Sans"/>
          <w:b w:val="0"/>
          <w:i w:val="0"/>
          <w:color w:val="59595B"/>
          <w:sz w:val="22"/>
        </w:rPr>
        <w:t>Huntress Agent updated with  Version 0.14.150 on MAX-DC-VDI-GI, MAX-DC-VDI-001, MAX-DC-VDI-002 (handled by A. Saraf) — 0.8h of tech effort</w:t>
      </w:r>
    </w:p>
    <w:p>
      <w:pPr>
        <w:pStyle w:val="ListBullet"/>
        <w:spacing w:after="80"/>
      </w:pPr>
      <w:r>
        <w:rPr>
          <w:rFonts w:ascii="Open Sans" w:hAnsi="Open Sans"/>
          <w:b w:val="0"/>
          <w:i w:val="0"/>
          <w:color w:val="59595B"/>
          <w:sz w:val="22"/>
        </w:rPr>
        <w:t>Huntress Agent updated with  Version 0.14.150 on MAX-DC-AD-01, AKT-DC-FS-01 (handled by D. Bhardwaj) — 0.5h of tech effort</w:t>
      </w:r>
    </w:p>
    <w:p>
      <w:pPr>
        <w:pStyle w:val="ListBullet"/>
        <w:spacing w:after="80"/>
      </w:pPr>
      <w:r>
        <w:rPr>
          <w:rFonts w:ascii="Open Sans" w:hAnsi="Open Sans"/>
          <w:b w:val="0"/>
          <w:i w:val="0"/>
          <w:color w:val="59595B"/>
          <w:sz w:val="22"/>
        </w:rPr>
        <w:t>Huntress Agent updated with  Version V0.14.146 on MAX-DC-AD-01, AKT-DC-FS-01 (handled by D. Bhardwaj) — 0.5h of tech effort</w:t>
      </w:r>
    </w:p>
    <w:p>
      <w:pPr>
        <w:pStyle w:val="ListBullet"/>
        <w:spacing w:after="80"/>
      </w:pPr>
      <w:r>
        <w:rPr>
          <w:rFonts w:ascii="Open Sans" w:hAnsi="Open Sans"/>
          <w:b w:val="0"/>
          <w:i w:val="0"/>
          <w:color w:val="59595B"/>
          <w:sz w:val="22"/>
        </w:rPr>
        <w:t>Huntress Agent updated with  Version V0.14.146 on MAX-DC-AD-01, AKT-DC-FS-01 — 0.5h on 2026-03-13</w:t>
      </w:r>
    </w:p>
    <w:p>
      <w:pPr>
        <w:pStyle w:val="ListBullet"/>
        <w:spacing w:after="80"/>
      </w:pPr>
      <w:r>
        <w:rPr>
          <w:rFonts w:ascii="Open Sans" w:hAnsi="Open Sans"/>
          <w:b w:val="0"/>
          <w:i w:val="0"/>
          <w:color w:val="59595B"/>
          <w:sz w:val="22"/>
        </w:rPr>
        <w:t>Huntress Agent updated with  Version 0.14.150 on MAX-DC-AD-01, AKT-DC-FS-01 — 0.5h on 2026-03-23</w:t>
      </w:r>
    </w:p>
    <w:p>
      <w:pPr>
        <w:pStyle w:val="ListBullet"/>
        <w:spacing w:after="80"/>
      </w:pPr>
      <w:r>
        <w:rPr>
          <w:rFonts w:ascii="Open Sans" w:hAnsi="Open Sans"/>
          <w:b w:val="0"/>
          <w:i w:val="0"/>
          <w:color w:val="59595B"/>
          <w:sz w:val="22"/>
        </w:rPr>
        <w:t>Huntress Agent updated with  Version 0.14.150 on MAX-DC-VDI-GI, MAX-DC-VDI-001, MAX-DC-VDI-002 — 0.8h on 2026-03-25</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Huntress announced no major platform changes this month. Routine detection-content updates and sensor improvements continued to roll out automatically. Technijian tracks Huntress's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MAX-DC-VDI-002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MAX-DC-VDI-001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MAX-DC-AD-01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AKT-DC-FS-01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bl>
    <w:p>
      <w:pPr>
        <w:spacing w:after="160"/>
      </w:pPr>
      <w:r>
        <w:rPr>
          <w:rFonts w:ascii="Open Sans" w:hAnsi="Open Sans"/>
          <w:b w:val="0"/>
          <w:i w:val="0"/>
          <w:color w:val="59595B"/>
          <w:sz w:val="22"/>
        </w:rPr>
        <w:t>Email support@technijian.com to review the listed endpoints with our team and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Real Estate / Property Management. Based on that classification, the data Technijian's stack is helping protect is most likely characterized as: PCI / Resident PII.</w:t>
      </w:r>
    </w:p>
    <w:p>
      <w:pPr>
        <w:spacing w:after="160"/>
      </w:pPr>
      <w:r>
        <w:rPr>
          <w:rFonts w:ascii="Open Sans" w:hAnsi="Open Sans"/>
          <w:b w:val="0"/>
          <w:i w:val="0"/>
          <w:color w:val="59595B"/>
          <w:sz w:val="21"/>
        </w:rPr>
        <w:t>Property managers process resident payments (rent, deposits, fees), triggering PCI DSS scope. Fair Housing Act records, applicant/resident PII, and California CCPA obligations all apply. Some clients also process credit/background checks bringing FCRA into scope.</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PCI DSS: </w:t>
      </w:r>
      <w:r>
        <w:rPr>
          <w:rFonts w:ascii="Open Sans" w:hAnsi="Open Sans"/>
          <w:b w:val="0"/>
          <w:i w:val="0"/>
          <w:color w:val="59595B"/>
          <w:sz w:val="22"/>
        </w:rPr>
        <w:t>system patching, anti-malware, and continuous vulnerability monitoring satisfy PCI DSS 4.0 Requirements 5, 6, 11, and 12. Technijian's monthly reports are the audit evidence.</w:t>
      </w:r>
    </w:p>
    <w:p>
      <w:pPr>
        <w:pStyle w:val="ListBullet"/>
        <w:spacing w:after="80"/>
      </w:pPr>
      <w:r>
        <w:rPr>
          <w:rFonts w:ascii="Open Sans" w:hAnsi="Open Sans"/>
          <w:b/>
          <w:i w:val="0"/>
          <w:color w:val="1A1A2E"/>
          <w:sz w:val="22"/>
        </w:rPr>
        <w:t xml:space="preserve">Fair Housing Act: </w:t>
      </w:r>
      <w:r>
        <w:rPr>
          <w:rFonts w:ascii="Open Sans" w:hAnsi="Open Sans"/>
          <w:b w:val="0"/>
          <w:i w:val="0"/>
          <w:color w:val="59595B"/>
          <w:sz w:val="22"/>
        </w:rPr>
        <w:t>audit logs around resident applicant data demonstrate the non-discrimination and recordkeeping controls the Fair Housing Act requires.</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Huntress and CrowdStrike Falcon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Huntress and CrowdStrike are deliberately complementary. Huntress is tuned for the SMB and mid-market threat landscape — phishing-driven footholds, persistence tradecraft, credential theft, and the kinds of attacks that target managed-service customers. CrowdStrike's Falcon is industry-leading nation-state-grade EDR with the broadest telemetry collection and the most mature threat-intel feed in the market.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Huntress's SOC and CrowdStrike's Overwatch team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