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MAX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0.0 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w:t>
            </w:r>
          </w:p>
          <w:p>
            <w:pPr>
              <w:spacing w:before="0" w:after="240"/>
              <w:jc w:val="center"/>
            </w:pPr>
            <w:r>
              <w:rPr>
                <w:rFonts w:ascii="Open Sans" w:hAnsi="Open Sans"/>
                <w:b w:val="0"/>
                <w:i w:val="0"/>
                <w:color w:val="59595B"/>
                <w:sz w:val="20"/>
              </w:rPr>
              <w:t>Storage Runway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Veeam ONE-monitored repositories were found for MAX during January 2026. The snapshot may not have been pulled yet, or this client may not be onboarded to Veeam ONE monitoring.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p>
      <w:pPr>
        <w:spacing w:after="160"/>
      </w:pPr>
      <w:r>
        <w:rPr>
          <w:rFonts w:ascii="Open Sans" w:hAnsi="Open Sans"/>
          <w:b w:val="0"/>
          <w:i w:val="0"/>
          <w:color w:val="59595B"/>
          <w:sz w:val="22"/>
        </w:rPr>
        <w:t>No repositories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DS-NBD1-MAX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backup repositories are healthy — runway is comfortable, state is clean, and Technijian's monitoring will catch any deviation early.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'MAX'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