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Hotel Normandie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Hotel Normandie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5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15 alert(s) across 4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 at 2026-03-26T11:50:56Z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 at 2026-03-31T08:24:08Z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AccessibilityApiGenericAsepModified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 at 2026-03-14T19:41:52Z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 at 2026-03-02T19:44:29Z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VolumeShadowSnapshotResizedInvalidRange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RemotePivotInjection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latest version(7.34.20610.0)updated on machines WKOR-KEYCARD (handled by R. Kumar) — 0.2h of tech effort</w:t>
      </w:r>
    </w:p>
    <w:p>
      <w:pPr>
        <w:pStyle w:val="ListBullet"/>
        <w:spacing w:after="80"/>
      </w:pPr>
      <w:r>
        <w:rPr>
          <w:rFonts w:ascii="Open Sans" w:hAnsi="Open Sans"/>
          <w:b w:val="0"/>
          <w:i w:val="0"/>
          <w:color w:val="59595B"/>
          <w:sz w:val="22"/>
        </w:rPr>
        <w:t>Crowdstrike latest version (7.34.20610.0) updated on machine:- NOR-HQ-VBR-01, VMNORRMS, WKNOR-FDLEFT, WKNOR-FDRIGHT (handled by A. Saraf) — 0.5h of tech effort</w:t>
      </w:r>
    </w:p>
    <w:p>
      <w:pPr>
        <w:pStyle w:val="ListBullet"/>
        <w:spacing w:after="80"/>
      </w:pPr>
      <w:r>
        <w:rPr>
          <w:rFonts w:ascii="Open Sans" w:hAnsi="Open Sans"/>
          <w:b w:val="0"/>
          <w:i w:val="0"/>
          <w:color w:val="59595B"/>
          <w:sz w:val="22"/>
        </w:rPr>
        <w:t>Crowdstrike latest version (7.34.20610.0) updated on machine:- WKNOR-BACKOFFIC, WKNOR-FOM (handled by Y. Kumar) — 0.6h of tech effort</w:t>
      </w:r>
    </w:p>
    <w:p>
      <w:pPr>
        <w:pStyle w:val="ListBullet"/>
        <w:spacing w:after="80"/>
      </w:pPr>
      <w:r>
        <w:rPr>
          <w:rFonts w:ascii="Open Sans" w:hAnsi="Open Sans"/>
          <w:b w:val="0"/>
          <w:i w:val="0"/>
          <w:color w:val="59595B"/>
          <w:sz w:val="22"/>
        </w:rPr>
        <w:t>Crowdstrike latest version (7.34.20610.0) updated on machine:- WKNOR-CASSELLS, WKNOR-HOUSEKEEP (handled by Y. Kumar) — 0.5h of tech effort</w:t>
      </w:r>
    </w:p>
    <w:p>
      <w:pPr>
        <w:pStyle w:val="ListBullet"/>
        <w:spacing w:after="80"/>
      </w:pPr>
      <w:r>
        <w:rPr>
          <w:rFonts w:ascii="Open Sans" w:hAnsi="Open Sans"/>
          <w:b w:val="0"/>
          <w:i w:val="0"/>
          <w:color w:val="59595B"/>
          <w:sz w:val="22"/>
        </w:rPr>
        <w:t>Crowdstrike latest version (7.34.20610.0) updated on machine:- WKNOR-CASSELLS, WKNOR-HOUSEKEEP — 0.5h on 2026-03-12</w:t>
      </w:r>
    </w:p>
    <w:p>
      <w:pPr>
        <w:pStyle w:val="ListBullet"/>
        <w:spacing w:after="80"/>
      </w:pPr>
      <w:r>
        <w:rPr>
          <w:rFonts w:ascii="Open Sans" w:hAnsi="Open Sans"/>
          <w:b w:val="0"/>
          <w:i w:val="0"/>
          <w:color w:val="59595B"/>
          <w:sz w:val="22"/>
        </w:rPr>
        <w:t>Crowdstrike latest version (7.34.20610.0) updated on machine:- WKNOR-BACKOFFIC, WKNOR-FOM — 0.6h on 2026-03-13</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VolumeShadowSnapshotResizedInvalidRange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Hospitality. Based on that classification, the data Technijian's stack is helping protect is most likely characterized as: PCI / Guest PII.</w:t>
      </w:r>
    </w:p>
    <w:p>
      <w:pPr>
        <w:spacing w:after="160"/>
      </w:pPr>
      <w:r>
        <w:rPr>
          <w:rFonts w:ascii="Open Sans" w:hAnsi="Open Sans"/>
          <w:b w:val="0"/>
          <w:i w:val="0"/>
          <w:color w:val="59595B"/>
          <w:sz w:val="21"/>
        </w:rPr>
        <w:t>Hotels and spas process card-present and card-not-present transactions, putting them firmly in PCI DSS scope. Guest PII (passport scans, ID) drives CCPA and state breach-notification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