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NOR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WKNOR-BACKOFFICE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2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Office2021_installer_16.0.19530.20184_retail_x64.exe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windows11.0-kb5077744-x64-24H2_win11.msu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Pr>
        <w:spacing w:after="160"/>
      </w:pPr>
      <w:r>
        <w:rPr>
          <w:rFonts w:ascii="Open Sans" w:hAnsi="Open Sans"/>
          <w:b/>
          <w:i w:val="0"/>
          <w:color w:val="1A1A2E"/>
          <w:sz w:val="22"/>
        </w:rPr>
        <w:t>Through January 2026, Technijian has deployed 3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Coordinated patches across 1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MyRMM Manage Engine agent upgraded to the latest version 11.4.2528.28 on WKNOR-FDRIGHT, WKNOR-FOM, WKOR-KEYCARD (handled by G. Kumar) — 0.8h of tech effort</w:t>
      </w:r>
    </w:p>
    <w:p>
      <w:pPr>
        <w:pStyle w:val="ListBullet"/>
        <w:spacing w:after="80"/>
      </w:pPr>
      <w:r>
        <w:rPr>
          <w:rFonts w:ascii="Open Sans" w:hAnsi="Open Sans"/>
          <w:b w:val="0"/>
          <w:i w:val="0"/>
          <w:color w:val="59595B"/>
          <w:sz w:val="22"/>
        </w:rPr>
        <w:t>MyRMM Manage-Engine Latest version 11.4.2528.28.W updated:- WKNOR-CASSELLS and  WKNOR-HOUSEKEEP (handled by S. Kumar) — 0.5h of tech effort</w:t>
      </w:r>
    </w:p>
    <w:p>
      <w:pPr>
        <w:pStyle w:val="ListBullet"/>
        <w:spacing w:after="80"/>
      </w:pPr>
      <w:r>
        <w:rPr>
          <w:rFonts w:ascii="Open Sans" w:hAnsi="Open Sans"/>
          <w:b w:val="0"/>
          <w:i w:val="0"/>
          <w:color w:val="59595B"/>
          <w:sz w:val="22"/>
        </w:rPr>
        <w:t>Manage engine Update on WKNOR-FDLEFT, WKNOR-FDRIGHT, WKOR-KEYCARD to Version 11.4.2528.25.W (handled by G. Chamoli) — 0.8h of tech effort</w:t>
      </w:r>
    </w:p>
    <w:p>
      <w:pPr>
        <w:pStyle w:val="ListBullet"/>
        <w:spacing w:after="80"/>
      </w:pPr>
      <w:r>
        <w:rPr>
          <w:rFonts w:ascii="Open Sans" w:hAnsi="Open Sans"/>
          <w:b w:val="0"/>
          <w:i w:val="0"/>
          <w:color w:val="59595B"/>
          <w:sz w:val="22"/>
        </w:rPr>
        <w:t>Manage engine Update on WKNOR-FDLEFT, WKNOR-FDRIGHT, WKOR-KEYCARD to Version 11.4.2528.25.W — 0.8h on 2026-01-02</w:t>
      </w:r>
    </w:p>
    <w:p>
      <w:pPr>
        <w:pStyle w:val="ListBullet"/>
        <w:spacing w:after="80"/>
      </w:pPr>
      <w:r>
        <w:rPr>
          <w:rFonts w:ascii="Open Sans" w:hAnsi="Open Sans"/>
          <w:b w:val="0"/>
          <w:i w:val="0"/>
          <w:color w:val="59595B"/>
          <w:sz w:val="22"/>
        </w:rPr>
        <w:t>WKNOR-BACKOFFIC : Myremote sync issue found over this pc — 0.4h on 2026-01-28</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Hospitality. Based on that classification, the data Technijian's stack is helping protect is most likely characterized as: PCI / Guest PII.</w:t>
      </w:r>
    </w:p>
    <w:p>
      <w:pPr>
        <w:spacing w:after="160"/>
      </w:pPr>
      <w:r>
        <w:rPr>
          <w:rFonts w:ascii="Open Sans" w:hAnsi="Open Sans"/>
          <w:b w:val="0"/>
          <w:i w:val="0"/>
          <w:color w:val="59595B"/>
          <w:sz w:val="21"/>
        </w:rPr>
        <w:t>Hotels and spas process card-present and card-not-present transactions, putting them firmly in PCI DSS scope. Guest PII (passport scans, ID) drives CCPA and state breach-notification obligations.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Stay the course: </w:t>
      </w:r>
      <w:r>
        <w:rPr>
          <w:rFonts w:ascii="Open Sans" w:hAnsi="Open Sans"/>
          <w:b w:val="0"/>
          <w:i w:val="0"/>
          <w:color w:val="59595B"/>
          <w:sz w:val="22"/>
        </w:rPr>
        <w:t>your patch deployment infrastructure is healthy, the schedule is being honored, and endpoint coverage is complete. No action items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'NOR'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