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Ortho Xpress</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Ortho Xpress during March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140</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20</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14</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3</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20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March 2026, CrowdStrike Falcon raised 140 alert(s) across 14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85</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 Detection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WKORX-6</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WKORX57</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WKORX-08</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WKORX-07</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JRMED07</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WKORX45</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LPORX02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ORX-DC-FS-02</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VolumeShadowSnapshotHidden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WKORX45</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VolumeShadowSnapshotDeleted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WKORX45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 at 2026-03-16T16:08:22Z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LPORX02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LPORX02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LPORX02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WKORX-07</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Rundll32Abuse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WKORX45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ORX-DC-AD-03</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LPORX02 at 2026-03-31T14:24:21Z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LPORX02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WKORX-07</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BundledMalware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LPORX02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WKORX-07</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WKORX57</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PWDump2.Untrusted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WKORX57</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WKORX57</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WKORX45</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ORX-DC-VDI-001 at 2026-03-30T03:13:52Z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0"/>
        </w:rPr>
        <w:t>Showing 40 of 140 alerts. Full list available on request — email support@technijian.com.</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140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pPr>
        <w:spacing w:after="160"/>
      </w:pPr>
      <w:r>
        <w:rPr>
          <w:rFonts w:ascii="Open Sans" w:hAnsi="Open Sans"/>
          <w:b/>
          <w:i w:val="0"/>
          <w:color w:val="1A1A2E"/>
          <w:sz w:val="24"/>
        </w:rPr>
        <w:t>Specific work delivered this month</w:t>
      </w:r>
    </w:p>
    <w:p>
      <w:pPr>
        <w:spacing w:after="160"/>
      </w:pPr>
      <w:r>
        <w:rPr>
          <w:rFonts w:ascii="Open Sans" w:hAnsi="Open Sans"/>
          <w:b w:val="0"/>
          <w:i w:val="0"/>
          <w:color w:val="59595B"/>
          <w:sz w:val="22"/>
        </w:rPr>
        <w:t>These items are pulled directly from the time entries and tickets logged by Technijian's team during the period — actual work, not estimates.</w:t>
      </w:r>
    </w:p>
    <w:p>
      <w:pPr>
        <w:pStyle w:val="ListBullet"/>
        <w:spacing w:after="80"/>
      </w:pPr>
      <w:r>
        <w:rPr>
          <w:rFonts w:ascii="Open Sans" w:hAnsi="Open Sans"/>
          <w:b w:val="0"/>
          <w:i w:val="0"/>
          <w:color w:val="59595B"/>
          <w:sz w:val="22"/>
        </w:rPr>
        <w:t>Crowdstrike latest version(7.34.20610.0)updated on machines WKORX69,WKORX70,WKORX65,WKORX64 (handled by S. Sharma) — 0.9h of tech effort</w:t>
      </w:r>
    </w:p>
    <w:p>
      <w:pPr>
        <w:pStyle w:val="ListBullet"/>
        <w:spacing w:after="80"/>
      </w:pPr>
      <w:r>
        <w:rPr>
          <w:rFonts w:ascii="Open Sans" w:hAnsi="Open Sans"/>
          <w:b w:val="0"/>
          <w:i w:val="0"/>
          <w:color w:val="59595B"/>
          <w:sz w:val="22"/>
        </w:rPr>
        <w:t>Crowdstrike latest version (7.34.20610.0) updated on machine: ORX-DC-FS-02, ORX-DC-IIS1, ORX-DC-IIS2, ORX-DC-OPSPRB, ORX-DC-SQL-02, ,ORX-DC-SQL-03 (handled by A. Saraf) — 1.5h of tech effort</w:t>
      </w:r>
    </w:p>
    <w:p>
      <w:pPr>
        <w:pStyle w:val="ListBullet"/>
        <w:spacing w:after="80"/>
      </w:pPr>
      <w:r>
        <w:rPr>
          <w:rFonts w:ascii="Open Sans" w:hAnsi="Open Sans"/>
          <w:b w:val="0"/>
          <w:i w:val="0"/>
          <w:color w:val="59595B"/>
          <w:sz w:val="22"/>
        </w:rPr>
        <w:t>Crowdstrike latest version(7.34.20610.0)updated on machines ORX-DC-TS-04,ORX-DC-TS-03,ORX-DC-SFTP-01,ORX-DC-SQL-01 (handled by S. Sharma) — 0.9h of tech effort</w:t>
      </w:r>
    </w:p>
    <w:p>
      <w:pPr>
        <w:pStyle w:val="ListBullet"/>
        <w:spacing w:after="80"/>
      </w:pPr>
      <w:r>
        <w:rPr>
          <w:rFonts w:ascii="Open Sans" w:hAnsi="Open Sans"/>
          <w:b w:val="0"/>
          <w:i w:val="0"/>
          <w:color w:val="59595B"/>
          <w:sz w:val="22"/>
        </w:rPr>
        <w:t>Crowdstrike latest version (7.34.20610.0) updated on machine: ORX-DC-3CX-01, ORX-DC-AD-03, ORX-DC-AD-04, ORX-DC-APP-01, ORX-DC-APP-04, ORX-DC-FS-01 (handled by D. Bhardwaj) — 1.5h of tech effort</w:t>
      </w:r>
    </w:p>
    <w:p>
      <w:pPr>
        <w:pStyle w:val="ListBullet"/>
        <w:spacing w:after="80"/>
      </w:pPr>
      <w:r>
        <w:rPr>
          <w:rFonts w:ascii="Open Sans" w:hAnsi="Open Sans"/>
          <w:b w:val="0"/>
          <w:i w:val="0"/>
          <w:color w:val="59595B"/>
          <w:sz w:val="22"/>
        </w:rPr>
        <w:t>Crowdstrike latest version (7.34.20610.0) updated on machine:- JRMED08, ORX-HQ-LPT-01, JRMED10, ORX-HQ-WINEDGE (handled by Y. Kumar) — 1.0h of tech effort</w:t>
      </w:r>
    </w:p>
    <w:p>
      <w:pPr>
        <w:pStyle w:val="ListBullet"/>
        <w:spacing w:after="80"/>
      </w:pPr>
      <w:r>
        <w:rPr>
          <w:rFonts w:ascii="Open Sans" w:hAnsi="Open Sans"/>
          <w:b w:val="0"/>
          <w:i w:val="0"/>
          <w:color w:val="59595B"/>
          <w:sz w:val="22"/>
        </w:rPr>
        <w:t>Crowdstrike latest version (7.34.20610.0) updated on machine:- ORX-DC-AD-03, WKORX50, WKORX53, ORX-DC-3CX-01 (handled by Y. Kumar) — 1.0h of tech effort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FileNamePathKnownMalware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WKORX-6</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GenericStandardAppLayerProtocolC2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OXPLIVE</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RansomwareFilesModifiedIndicator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WKORX-6</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GenericStandardAppLayerProtocolC2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OXPLIVE</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RansomwareFilesModifiedIndicator</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WKORX-6</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WKORX-6</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WKORX-6</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WKORX-6</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ORX-DC-FS-02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WKORX-6</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WKORX-6</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JRMED07</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JRMED07</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WKORX-6</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WKORX-6</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RansomwareFilesModifiedIndicator</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WKORX-6</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WKORX-6</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Healthcare. Based on that classification, the data Technijian's stack is helping protect is most likely characterized as: PHI.</w:t>
      </w:r>
    </w:p>
    <w:p>
      <w:pPr>
        <w:spacing w:after="160"/>
      </w:pPr>
      <w:r>
        <w:rPr>
          <w:rFonts w:ascii="Open Sans" w:hAnsi="Open Sans"/>
          <w:b w:val="0"/>
          <w:i w:val="0"/>
          <w:color w:val="59595B"/>
          <w:sz w:val="21"/>
        </w:rPr>
        <w:t>All endpoints handle Protected Health Information (PHI). HIPAA Security Rule (45 CFR §164.302-318) requires administrative, physical, and technical safeguards. The HITECH Act extends breach-notification and audit obligations. California CMIA (Civil Code §56) adds state-specific patient confidentiality rules.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HIPAA: </w:t>
      </w:r>
      <w:r>
        <w:rPr>
          <w:rFonts w:ascii="Open Sans" w:hAnsi="Open Sans"/>
          <w:b w:val="0"/>
          <w:i w:val="0"/>
          <w:color w:val="59595B"/>
          <w:sz w:val="22"/>
        </w:rPr>
        <w:t>endpoint detection &amp; response (Huntress + CrowdStrike), patch management (Endpoint Central), access auditing, and 24x7 incident response satisfy the technical safeguard requirements of 45 CFR §164.312 (access control, audit controls, integrity, transmission security).</w:t>
      </w:r>
    </w:p>
    <w:p>
      <w:pPr>
        <w:pStyle w:val="ListBullet"/>
        <w:spacing w:after="80"/>
      </w:pPr>
      <w:r>
        <w:rPr>
          <w:rFonts w:ascii="Open Sans" w:hAnsi="Open Sans"/>
          <w:b/>
          <w:i w:val="0"/>
          <w:color w:val="1A1A2E"/>
          <w:sz w:val="22"/>
        </w:rPr>
        <w:t xml:space="preserve">HITECH: </w:t>
      </w:r>
      <w:r>
        <w:rPr>
          <w:rFonts w:ascii="Open Sans" w:hAnsi="Open Sans"/>
          <w:b w:val="0"/>
          <w:i w:val="0"/>
          <w:color w:val="59595B"/>
          <w:sz w:val="22"/>
        </w:rPr>
        <w:t>automated detection of suspicious access events and Technijian's documented incident-response process keeps the breach-notification clock from running silently — any potential PHI exposure is investigated and timestamped within hours.</w:t>
      </w:r>
    </w:p>
    <w:p>
      <w:pPr>
        <w:pStyle w:val="ListBullet"/>
        <w:spacing w:after="80"/>
      </w:pPr>
      <w:r>
        <w:rPr>
          <w:rFonts w:ascii="Open Sans" w:hAnsi="Open Sans"/>
          <w:b/>
          <w:i w:val="0"/>
          <w:color w:val="1A1A2E"/>
          <w:sz w:val="22"/>
        </w:rPr>
        <w:t xml:space="preserve">California CMIA: </w:t>
      </w:r>
      <w:r>
        <w:rPr>
          <w:rFonts w:ascii="Open Sans" w:hAnsi="Open Sans"/>
          <w:b w:val="0"/>
          <w:i w:val="0"/>
          <w:color w:val="59595B"/>
          <w:sz w:val="22"/>
        </w:rPr>
        <w:t>the same access-auditing and detection pipeline that supports HIPAA also covers California's stricter CMIA confidentiality requirements for medical information.</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