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2026-02-24T22:43:05Z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2026-02-11T05:17:49Z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2026-02-03T23:35:39Z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RE: Huntress Critical Incident | CRITICAL - ISOLATED - Incident on RMG-LPT-TOM (Roddel Marketing Group, Inc.) — 1.2h on 2026-02-04</w:t>
      </w:r>
    </w:p>
    <w:p>
      <w:pPr>
        <w:pStyle w:val="ListBullet"/>
        <w:spacing w:after="80"/>
      </w:pPr>
      <w:r>
        <w:rPr>
          <w:rFonts w:ascii="Open Sans" w:hAnsi="Open Sans"/>
          <w:b w:val="0"/>
          <w:i w:val="0"/>
          <w:color w:val="59595B"/>
          <w:sz w:val="22"/>
        </w:rPr>
        <w:t>RE: Huntress Critical Incident | CRITICAL - ISOLATED - Incident on RMG-LPT-TOM (Roddel Marketing Group, Inc.) — 0.8h on 2026-02-04</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