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Rosalina See - Prats M.D.</w:t>
      </w:r>
    </w:p>
    <w:p>
      <w:pPr>
        <w:jc w:val="center"/>
      </w:pPr>
      <w:r>
        <w:rPr>
          <w:rFonts w:ascii="Open Sans" w:hAnsi="Open Sans"/>
          <w:b w:val="0"/>
          <w:i w:val="0"/>
          <w:color w:val="59595B"/>
          <w:sz w:val="24"/>
        </w:rPr>
        <w:t>February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Rosalina See - Prats M.D. during February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11</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4</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4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February 2026, CrowdStrike Falcon raised 11 alert(s) across 1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 at 2026-02-15T05:17:21Z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 at 2026-02-26T01:18:58Z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Rundll32Abuse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PUP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RegistryPersistEdit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HiveCredTheft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CommandLineStomping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11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RegistryPersistEdit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HiveCredTheft</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email support@technijian.com to review each open Critical/High alert with our team,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Email support@technijian.com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Healthcare. Based on that classification, the data Technijian's stack is helping protect is most likely characterized as: PHI.</w:t>
      </w:r>
    </w:p>
    <w:p>
      <w:pPr>
        <w:spacing w:after="160"/>
      </w:pPr>
      <w:r>
        <w:rPr>
          <w:rFonts w:ascii="Open Sans" w:hAnsi="Open Sans"/>
          <w:b w:val="0"/>
          <w:i w:val="0"/>
          <w:color w:val="59595B"/>
          <w:sz w:val="21"/>
        </w:rPr>
        <w:t>All endpoints handle Protected Health Information (PHI). HIPAA Security Rule (45 CFR §164.302-318) requires administrative, physical, and technical safeguards. The HITECH Act extends breach-notification and audit obligations. California CMIA (Civil Code §56) adds state-specific patient confidentiality rules.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HIPAA: </w:t>
      </w:r>
      <w:r>
        <w:rPr>
          <w:rFonts w:ascii="Open Sans" w:hAnsi="Open Sans"/>
          <w:b w:val="0"/>
          <w:i w:val="0"/>
          <w:color w:val="59595B"/>
          <w:sz w:val="22"/>
        </w:rPr>
        <w:t>endpoint detection &amp; response (Huntress + CrowdStrike), patch management (Endpoint Central), access auditing, and 24x7 incident response satisfy the technical safeguard requirements of 45 CFR §164.312 (access control, audit controls, integrity, transmission security).</w:t>
      </w:r>
    </w:p>
    <w:p>
      <w:pPr>
        <w:pStyle w:val="ListBullet"/>
        <w:spacing w:after="80"/>
      </w:pPr>
      <w:r>
        <w:rPr>
          <w:rFonts w:ascii="Open Sans" w:hAnsi="Open Sans"/>
          <w:b/>
          <w:i w:val="0"/>
          <w:color w:val="1A1A2E"/>
          <w:sz w:val="22"/>
        </w:rPr>
        <w:t xml:space="preserve">HITECH: </w:t>
      </w:r>
      <w:r>
        <w:rPr>
          <w:rFonts w:ascii="Open Sans" w:hAnsi="Open Sans"/>
          <w:b w:val="0"/>
          <w:i w:val="0"/>
          <w:color w:val="59595B"/>
          <w:sz w:val="22"/>
        </w:rPr>
        <w:t>automated detection of suspicious access events and Technijian's documented incident-response process keeps the breach-notification clock from running silently — any potential PHI exposure is investigated and timestamped within hours.</w:t>
      </w:r>
    </w:p>
    <w:p>
      <w:pPr>
        <w:pStyle w:val="ListBullet"/>
        <w:spacing w:after="80"/>
      </w:pPr>
      <w:r>
        <w:rPr>
          <w:rFonts w:ascii="Open Sans" w:hAnsi="Open Sans"/>
          <w:b/>
          <w:i w:val="0"/>
          <w:color w:val="1A1A2E"/>
          <w:sz w:val="22"/>
        </w:rPr>
        <w:t xml:space="preserve">California CMIA: </w:t>
      </w:r>
      <w:r>
        <w:rPr>
          <w:rFonts w:ascii="Open Sans" w:hAnsi="Open Sans"/>
          <w:b w:val="0"/>
          <w:i w:val="0"/>
          <w:color w:val="59595B"/>
          <w:sz w:val="22"/>
        </w:rPr>
        <w:t>the same access-auditing and detection pipeline that supports HIPAA also covers California's stricter CMIA confidentiality requirements for medical information.</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