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Login to the Huntress portal and check policies and Security settings (handled by R. Uniyal) — 0.6h of tech effort</w:t>
      </w:r>
    </w:p>
    <w:p>
      <w:pPr>
        <w:pStyle w:val="ListBullet"/>
        <w:spacing w:after="80"/>
      </w:pPr>
      <w:r>
        <w:rPr>
          <w:rFonts w:ascii="Open Sans" w:hAnsi="Open Sans"/>
          <w:b w:val="0"/>
          <w:i w:val="0"/>
          <w:color w:val="59595B"/>
          <w:sz w:val="22"/>
        </w:rPr>
        <w:t>Login to the Huntress portal and check policies and Security settings — 0.6h on 2026-03-12</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ChadMorris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