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Talley &amp; Associates</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Talley &amp; Associates during March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13</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No Critical or High severity alerts fired this month. Falcon continued to monitor your environment 24x7 and Technijian's team reviewed all 13 detection(s) raised.</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March 2026, CrowdStrike Falcon raised 13 alert(s) across 2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TALY-HQ-WINEDGE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WIN-3V0EKA0U8E8</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WIN-3V0EKA0U8E8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WIN-3V0EKA0U8E8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TALY-HQ-WINEDGE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TALY-HQ-WINEDGE at 2026-03-24T06:50:16Z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TALY-HQ-WINEDGE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TALY-HQ-WINEDGE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WIN-3V0EKA0U8E8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WIN-3V0EKA0U8E8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WIN-3V0EKA0U8E8 at 2026-03-30T15:52:34Z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WIN-3V0EKA0U8E8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TALY-HQ-WINEDGE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TALY-HQ-WINEDGE at 2026-03-31T09:01:09Z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TALY-HQ-WINEDGE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WIN-3V0EKA0U8E8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TALY-HQ-WINEDGE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LowestConfidenceMalware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TALY-HQ-WINEDGE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13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CrowdStrike Sensor Updated with Version 7.34.20610.0: TALY-HQ-WINEDGE (handled by D. Bhardwaj) — 0.2h of tech effort</w:t>
      </w:r>
    </w:p>
    <w:p>
      <w:pPr>
        <w:pStyle w:val="ListBullet"/>
        <w:spacing w:after="80"/>
      </w:pPr>
      <w:r>
        <w:rPr>
          <w:rFonts w:ascii="Open Sans" w:hAnsi="Open Sans"/>
          <w:b w:val="0"/>
          <w:i w:val="0"/>
          <w:color w:val="59595B"/>
          <w:sz w:val="22"/>
        </w:rPr>
        <w:t>CrowdStrike Sensor Updated with Version 7.34.20610.0: TALY-HQ-WINEDGE — 0.2h on 2026-03-30</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Critical or High severity alerts fired this month. Continue operating under your current Falcon policy and email support@technijian.com if you plan to add or remove endpoints.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General Business. Based on that classification, the data Technijian's stack is helping protect is most likely characterized as: Customer / employee PII.</w:t>
      </w:r>
    </w:p>
    <w:p>
      <w:pPr>
        <w:spacing w:after="160"/>
      </w:pPr>
      <w:r>
        <w:rPr>
          <w:rFonts w:ascii="Open Sans" w:hAnsi="Open Sans"/>
          <w:b w:val="0"/>
          <w:i w:val="0"/>
          <w:color w:val="59595B"/>
          <w:sz w:val="21"/>
        </w:rPr>
        <w:t>No clear industry signal in the client name — defaulting to general California business privacy law (CCPA) for any California-resident data the client processes. Tech can override the industry / compliance scope by editing this file.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