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TALY — January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January 2026, Technijian deployed 3 patches across 2 TALY endpoints — 3 via the automated patch pipeline and 0 delivered hands-on by Technijian's tech team. 1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TALY's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TALY Patch Management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TALY Patch Management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20:00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WIN-3V0EKA0U8E8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TALY-HQ-WINEDGE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33.3%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33.3%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33.3%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Splashtop Inc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33.3%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VMware,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33.3%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33.3%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3 unique patches were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Splashtop_Business_Win_INSTALLER_v3.8.0.4.exe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VMware-tools-13.0.10-25056151-x64.exe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windowsdesktop-runtime-8.0.23-win-x64.exe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Year-to-Date Patch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Cumulative 2026 patch deployment totals through January 2026, month by month. The running totals show Technijian's protection compounding across the calendar year.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Deployed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Critical Patches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 Patched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YTD Total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January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Through January 2026, Technijian has deployed 3 patches year-to-date — including 1 Critical-severity vulnerabilities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3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2 of your endpoints during January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1 Critical-severity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by deploying the corresponding vendor patches before they could be exploited in the wild.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1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3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20:00-02:00 on Fri,Sat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ManageEngine announced no major platform changes this month. Routine detection-content updates and sensor improvements continued to roll out automatically. Technijian tracks ManageEngine's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Compliance Alignment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client's industry classification is General Business. Based on that classification, the data Technijian's stack is helping protect is most likely characterized as: Customer / employee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1"/>
        </w:rPr>
        <w:t>No clear industry signal in the client name — defaulting to general California business privacy law (CCPA) for any California-resident data the client processes. Tech can override the industry / compliance scope by editing this file.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How Technijian's monitoring stack supports each framework: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California CCPA: </w:t>
      </w:r>
      <w:r>
        <w:rPr>
          <w:rFonts w:ascii="Open Sans" w:hAnsi="Open Sans"/>
          <w:b w:val="0"/>
          <w:i w:val="0"/>
          <w:color w:val="59595B"/>
          <w:sz w:val="22"/>
        </w:rPr>
        <w:t>breach-detection and incident-response capabilities support CCPA §1798.150 reasonable-security obligations and the 72-hour notification window for incidents involving California-resident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9"/>
        </w:rPr>
        <w:t>This classification was generated automatically from the client's name and contact-domain signals. If the industry or compliance scope shown here doesn't match your operations, please reply to this report and we'll update the classification — Technijian's team can also produce a deeper compliance-posture report on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Reboot at next convenience if prompted: </w:t>
      </w:r>
      <w:r>
        <w:rPr>
          <w:rFonts w:ascii="Open Sans" w:hAnsi="Open Sans"/>
          <w:b w:val="0"/>
          <w:i w:val="0"/>
          <w:color w:val="59595B"/>
          <w:sz w:val="22"/>
        </w:rPr>
        <w:t>1 Critical-severity patches were deployed this month. Some Microsoft and driver patches only finalize on the next reboot — letting users reboot at their convenience within 5 business days completes the security closure.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20:00 for client 'TALY' covering January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