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44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2026-02-24T01:51:56Z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 at 2026-02-25T16:30:09Z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 at 2026-02-23T16:27:45Z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2026-02-25T17:59:45Z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 at 2026-02-16T16:36:52Z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2026-02-10T09:01:29Z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 at 2026-02-10T18:49:58Z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 at 2026-02-04T07:32:19Z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Run scan on VAF-HQ-LT-17 system for any suspicious activity — 0.5h on 2026-02-14</w:t>
      </w:r>
    </w:p>
    <w:p>
      <w:pPr>
        <w:pStyle w:val="ListBullet"/>
        <w:spacing w:after="80"/>
      </w:pPr>
      <w:r>
        <w:rPr>
          <w:rFonts w:ascii="Open Sans" w:hAnsi="Open Sans"/>
          <w:b w:val="0"/>
          <w:i w:val="0"/>
          <w:color w:val="59595B"/>
          <w:sz w:val="22"/>
        </w:rPr>
        <w:t>please remove VAF-HQ-SUR-10 — 0.6h on 2026-02-16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