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Via Auto Finance</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Via Auto Finance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53</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20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53 alert(s) across 9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VAF-HQ-LT-19</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VAF-HQ-LT-18</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VAF-HQ-LT-25</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VAF-HQ-LT-25 at 2026-03-18T16:05:55Z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 at 2026-03-17T06:28:26Z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 at 2026-03-18T17:34:11Z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 at 2026-03-31T08:02:52Z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 at 2026-03-19T09:26:06Z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VAF-DC-FS-01 at 2026-03-12T06:54:00Z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Rundll32Abuse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VAF-HQ-LT-19 at 2026-03-11T03:16:05Z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VAF-HQ-LT-19</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RemoteOpenLsass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RawReadOnSAMHive.Untrusted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VAF-HQ-LT-18 at 2026-03-10T16:30:14Z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 at 2026-03-09T17:32:15Z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VAF-HQ-LT-19</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 at 2026-03-09T17:28:01Z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53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53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Crowdstrike latest version (7.34.20610.0) updated on machine: VAF-DC-OPSPRB, VAF-DC-SFTP-02, VAF-DC-SQL-01, VAF-DC-TS-01 (handled by A. Saraf) — 1.0h of tech effort</w:t>
      </w:r>
    </w:p>
    <w:p>
      <w:pPr>
        <w:pStyle w:val="ListBullet"/>
        <w:spacing w:after="80"/>
      </w:pPr>
      <w:r>
        <w:rPr>
          <w:rFonts w:ascii="Open Sans" w:hAnsi="Open Sans"/>
          <w:b w:val="0"/>
          <w:i w:val="0"/>
          <w:color w:val="59595B"/>
          <w:sz w:val="22"/>
        </w:rPr>
        <w:t>Crowdstrike latest version (7.34.20610.0) updated on machine: VAF-DC-3CX-01, VAF-DC-AD-01. VAF-DC-FS-01. VAF-DC-FS-02 (handled by A. Saraf) — 1.0h of tech effort</w:t>
      </w:r>
    </w:p>
    <w:p>
      <w:pPr>
        <w:pStyle w:val="ListBullet"/>
        <w:spacing w:after="80"/>
      </w:pPr>
      <w:r>
        <w:rPr>
          <w:rFonts w:ascii="Open Sans" w:hAnsi="Open Sans"/>
          <w:b w:val="0"/>
          <w:i w:val="0"/>
          <w:color w:val="59595B"/>
          <w:sz w:val="22"/>
        </w:rPr>
        <w:t>Crowdstrike latest version (7.34.20610.0) updated on machine: VAF-DC-3CX-01, VAF-DC-AD-01. VAF-DC-FS-01. VAF-DC-FS-02 — 1.0h on 2026-03-18</w:t>
      </w:r>
    </w:p>
    <w:p>
      <w:pPr>
        <w:pStyle w:val="ListBullet"/>
        <w:spacing w:after="80"/>
      </w:pPr>
      <w:r>
        <w:rPr>
          <w:rFonts w:ascii="Open Sans" w:hAnsi="Open Sans"/>
          <w:b w:val="0"/>
          <w:i w:val="0"/>
          <w:color w:val="59595B"/>
          <w:sz w:val="22"/>
        </w:rPr>
        <w:t>Installing technijian tools — 0.8h on 2026-03-18</w:t>
      </w:r>
    </w:p>
    <w:p>
      <w:pPr>
        <w:pStyle w:val="ListBullet"/>
        <w:spacing w:after="80"/>
      </w:pPr>
      <w:r>
        <w:rPr>
          <w:rFonts w:ascii="Open Sans" w:hAnsi="Open Sans"/>
          <w:b w:val="0"/>
          <w:i w:val="0"/>
          <w:color w:val="59595B"/>
          <w:sz w:val="22"/>
        </w:rPr>
        <w:t>Crowdstrike latest version (7.34.20610.0) updated on machine: VAF-DC-OPSPRB, VAF-DC-SFTP-02, VAF-DC-SQL-01, VAF-DC-TS-01 — 1.0h on 2026-03-23</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RawReadOnSAMHive.Untrusted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Automotive Finance. Based on that classification, the data Technijian's stack is helping protect is most likely characterized as: Borrower NPI / Credit data.</w:t>
      </w:r>
    </w:p>
    <w:p>
      <w:pPr>
        <w:spacing w:after="160"/>
      </w:pPr>
      <w:r>
        <w:rPr>
          <w:rFonts w:ascii="Open Sans" w:hAnsi="Open Sans"/>
          <w:b w:val="0"/>
          <w:i w:val="0"/>
          <w:color w:val="59595B"/>
          <w:sz w:val="21"/>
        </w:rPr>
        <w:t>Auto-finance lenders are non-bank financial institutions under GLBA — full Safeguards Rule applies (16 CFR §314, including the 2023 enhanced security-program requirements). FTC Safeguards Rule layered on the same controls. PCI for any card processing on origination; CCPA for California-resident borrowers.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FTC Safeguards Rule (if dealer): </w:t>
      </w:r>
      <w:r>
        <w:rPr>
          <w:rFonts w:ascii="Open Sans" w:hAnsi="Open Sans"/>
          <w:b w:val="0"/>
          <w:i w:val="0"/>
          <w:color w:val="59595B"/>
          <w:sz w:val="22"/>
        </w:rPr>
        <w:t>the same security-program controls that cover GLBA also satisfy the FTC Safeguards Rule for non-bank financial institutions (including auto dealers).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