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Via Auto Finance</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Via Auto Finance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30</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8</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4</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30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30 alert(s) across 8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Ods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VAF-DC-OPSPRB</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DESKTOP-I7CGJRV</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 at 2026-04-24T09:47:34Z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VAF-DC-OPSPRB at 2026-04-27T16:29:31Z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VAF-DC-OPSPRB</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VolumeShadowSnapshotHidden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DESKTOP-I7CGJRV</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Dropper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VAF-DC-OPSPRB</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VAF-DC-OPSPRB</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DESKTOP-I7CGJRV at 2026-04-18T17:51:03Z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DESKTOP-I7CGJRV</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VAF-DC-OPSPRB</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RemoteOpenLsassUntrusted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VolumeShadowSnapshotDeleted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DESKTOP-I7CGJRV</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 at 2026-04-06T07:17:16Z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 at 2026-04-06T15:51:55Z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OnDemandScanMLFileAnalysisPupAdwareLow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OnDemandScanMLFileAnalysisPupAdwareLow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OnDemandScanMLFileAnalysisPupAdwareLow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OnDemandScanMLFileAnalysisPupAdwareLow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VAF-HQ-LT-20 at 2026-04-15T04:03:44Z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PortScanningRdpThresholdHigh</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UnsignedDriverLoad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Dropper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 at 2026-04-02T19:24:44Z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PortScanningSmbThresholdHigh</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30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VAF-HQ-LT-11,VAF-HQ-LT-24, VAF-HQ-MCX-01 : Falcon and defender deep scan requires (handled by S. Kumar Sharma) — 2.2h of tech effort</w:t>
      </w:r>
    </w:p>
    <w:p>
      <w:pPr>
        <w:pStyle w:val="ListBullet"/>
        <w:spacing w:after="80"/>
      </w:pPr>
      <w:r>
        <w:rPr>
          <w:rFonts w:ascii="Open Sans" w:hAnsi="Open Sans"/>
          <w:b w:val="0"/>
          <w:i w:val="0"/>
          <w:color w:val="59595B"/>
          <w:sz w:val="22"/>
        </w:rPr>
        <w:t>CrowdStrike Sensor Updated with Version 7.36.20805.0: VAF-DC-SQL-01, VAF-DC-TS-01, VAF-DC-TSVDI-GI, VAF-HQ-LT-04, VAF-HQ-LT-05, VAF-HQ-LT-07 (handled by A. Saraf) — 1.0h of tech effort</w:t>
      </w:r>
    </w:p>
    <w:p>
      <w:pPr>
        <w:pStyle w:val="ListBullet"/>
        <w:spacing w:after="80"/>
      </w:pPr>
      <w:r>
        <w:rPr>
          <w:rFonts w:ascii="Open Sans" w:hAnsi="Open Sans"/>
          <w:b w:val="0"/>
          <w:i w:val="0"/>
          <w:color w:val="59595B"/>
          <w:sz w:val="22"/>
        </w:rPr>
        <w:t>CrowdStrike Sensor Updated with Version 7.36.20805.0: VAF-DC-3CX-01, VAF-DC-AD-01, VAF-DC-FS-01,VAF-DC-FS-02, VAF-DC-OPSPRB, VAF-DC-SFTP-02 (handled by A. Saraf) — 1.5h of tech effort</w:t>
      </w:r>
    </w:p>
    <w:p>
      <w:pPr>
        <w:pStyle w:val="ListBullet"/>
        <w:spacing w:after="80"/>
      </w:pPr>
      <w:r>
        <w:rPr>
          <w:rFonts w:ascii="Open Sans" w:hAnsi="Open Sans"/>
          <w:b w:val="0"/>
          <w:i w:val="0"/>
          <w:color w:val="59595B"/>
          <w:sz w:val="22"/>
        </w:rPr>
        <w:t>CrowdStrike Sensor Updated with Version 7.36.20805.0: VAF-DC-3CX-01, VAF-DC-AD-01, VAF-DC-FS-01,VAF-DC-FS-02, VAF-DC-OPSPRB, VAF-DC-SFTP-02 — 1.5h on 2026-04-15</w:t>
      </w:r>
    </w:p>
    <w:p>
      <w:pPr>
        <w:pStyle w:val="ListBullet"/>
        <w:spacing w:after="80"/>
      </w:pPr>
      <w:r>
        <w:rPr>
          <w:rFonts w:ascii="Open Sans" w:hAnsi="Open Sans"/>
          <w:b w:val="0"/>
          <w:i w:val="0"/>
          <w:color w:val="59595B"/>
          <w:sz w:val="22"/>
        </w:rPr>
        <w:t>CrowdStrike Sensor Updated with Version 7.36.20805.0: VAF-DC-SQL-01, VAF-DC-TS-01, VAF-DC-TSVDI-GI, VAF-HQ-LT-04, VAF-HQ-LT-05, VAF-HQ-LT-07 — 1.6h on 2026-04-16</w:t>
      </w:r>
    </w:p>
    <w:p>
      <w:pPr>
        <w:pStyle w:val="ListBullet"/>
        <w:spacing w:after="80"/>
      </w:pPr>
      <w:r>
        <w:rPr>
          <w:rFonts w:ascii="Open Sans" w:hAnsi="Open Sans"/>
          <w:b w:val="0"/>
          <w:i w:val="0"/>
          <w:color w:val="59595B"/>
          <w:sz w:val="22"/>
        </w:rPr>
        <w:t>VAF-HQ-LT-11,VAF-HQ-LT-24, VAF-HQ-MCX-01 : Falcon and defender deep scan requires — 0.7h on 2026-04-18</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Automotive Finance. Based on that classification, the data Technijian's stack is helping protect is most likely characterized as: Borrower NPI / Credit data.</w:t>
      </w:r>
    </w:p>
    <w:p>
      <w:pPr>
        <w:spacing w:after="160"/>
      </w:pPr>
      <w:r>
        <w:rPr>
          <w:rFonts w:ascii="Open Sans" w:hAnsi="Open Sans"/>
          <w:b w:val="0"/>
          <w:i w:val="0"/>
          <w:color w:val="59595B"/>
          <w:sz w:val="21"/>
        </w:rPr>
        <w:t>Auto-finance lenders are non-bank financial institutions under GLBA — full Safeguards Rule applies (16 CFR §314, including the 2023 enhanced security-program requirements). FTC Safeguards Rule layered on the same controls. PCI for any card processing on origination; CCPA for California-resident borrowers.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FTC Safeguards Rule (if dealer): </w:t>
      </w:r>
      <w:r>
        <w:rPr>
          <w:rFonts w:ascii="Open Sans" w:hAnsi="Open Sans"/>
          <w:b w:val="0"/>
          <w:i w:val="0"/>
          <w:color w:val="59595B"/>
          <w:sz w:val="22"/>
        </w:rPr>
        <w:t>the same security-program controls that cover GLBA also satisfy the FTC Safeguards Rule for non-bank financial institutions (including auto dealers).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