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28 endpoint(s) with Microsoft Defender or firewall in a non-protected state; 3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for the clients (handled by A. Saraf) — 0.5h of tech effort</w:t>
      </w:r>
    </w:p>
    <w:p>
      <w:pPr>
        <w:pStyle w:val="ListBullet"/>
        <w:spacing w:after="80"/>
      </w:pPr>
      <w:r>
        <w:rPr>
          <w:rFonts w:ascii="Open Sans" w:hAnsi="Open Sans"/>
          <w:b w:val="0"/>
          <w:i w:val="0"/>
          <w:color w:val="59595B"/>
          <w:sz w:val="22"/>
        </w:rPr>
        <w:t>VAF-HQ-3CX : Removed from Huntress portal (handled by S. Kumar Sharma) — 0.4h of tech effort</w:t>
      </w:r>
    </w:p>
    <w:p>
      <w:pPr>
        <w:pStyle w:val="ListBullet"/>
        <w:spacing w:after="80"/>
      </w:pPr>
      <w:r>
        <w:rPr>
          <w:rFonts w:ascii="Open Sans" w:hAnsi="Open Sans"/>
          <w:b w:val="0"/>
          <w:i w:val="0"/>
          <w:color w:val="59595B"/>
          <w:sz w:val="22"/>
        </w:rPr>
        <w:t>VAF-HQ-3CX : Removed from Huntress portal — 0.4h on 2026-01-16</w:t>
      </w:r>
    </w:p>
    <w:p>
      <w:pPr>
        <w:pStyle w:val="ListBullet"/>
        <w:spacing w:after="80"/>
      </w:pPr>
      <w:r>
        <w:rPr>
          <w:rFonts w:ascii="Open Sans" w:hAnsi="Open Sans"/>
          <w:b w:val="0"/>
          <w:i w:val="0"/>
          <w:color w:val="59595B"/>
          <w:sz w:val="22"/>
        </w:rPr>
        <w:t>Huntress Agent updated for the clients — 0.5h on 2026-01-28</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VAF-HQ-SUR-17</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Finance. Based on that classification, the data Technijian's stack is helping protect is most likely characterized as: Borrower NPI / Credit data.</w:t>
      </w:r>
    </w:p>
    <w:p>
      <w:pPr>
        <w:spacing w:after="160"/>
      </w:pPr>
      <w:r>
        <w:rPr>
          <w:rFonts w:ascii="Open Sans" w:hAnsi="Open Sans"/>
          <w:b w:val="0"/>
          <w:i w:val="0"/>
          <w:color w:val="59595B"/>
          <w:sz w:val="21"/>
        </w:rPr>
        <w:t>Auto-finance lenders are non-bank financial institutions under GLBA — full Safeguards Rule applies (16 CFR §314, including the 2023 enhanced security-program requirements). FTC Safeguards Rule layered on the same controls. PCI for any card processing on origination; CCPA for California-resident borrowers.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