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VAF-DC-AD-01, VAF-DC-SFTP-02, VAF-DC-SQL-01, VAF-DC-TS-01 (handled by D. Bhardwaj) — 0.9h of tech effort</w:t>
      </w:r>
    </w:p>
    <w:p>
      <w:pPr>
        <w:pStyle w:val="ListBullet"/>
        <w:spacing w:after="80"/>
      </w:pPr>
      <w:r>
        <w:rPr>
          <w:rFonts w:ascii="Open Sans" w:hAnsi="Open Sans"/>
          <w:b w:val="0"/>
          <w:i w:val="0"/>
          <w:color w:val="59595B"/>
          <w:sz w:val="22"/>
        </w:rPr>
        <w:t>Huntress Agent updated with  Version V0.14.132 on VAF-DC-AD-01, VAF-DC-SFTP-02, VAF-DC-SQL-01, VAF-DC-TS-01 — 0.9h on 2026-02-13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