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368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368 patches across 46 VAF endpoints — 368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VAF's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management(CST-Time Zone)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VAF-HQ-MCX-01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DESKTOP-I7CGJRV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VAF-DC-OPSPRB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VAF-DC-SFTP-02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VAF-DC-TSVDI-GI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VAF-DC-3CX-01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IcoFX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Poly,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Nitro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40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MicrosoftEdgeWebView2RuntimeInstallerX64_144.0.3719.82.exe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windows11.0-kb5074109-x64-25H2_win11.msu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228b3e8a-0c81-49ef-a079-7d4627944b0e_59a950f8b5a12ebe92767065bc0a7b6ddd843bd7_PCI_VEN_8086_DEV_46A8.cab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windows10.0-kb5073457-x64-2022.msu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windows10.0-kb5077800-x64-2022.msu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228b3e8a-0c81-49ef-a079-7d4627944b0e_59a950f8b5a12ebe92767065bc0a7b6ddd843bd7_PCI_VEN_8086_DEV_A7A1.cab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PBIDesktopSetup_2.150.1704.0_x64.exe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windows11.0-kb5074109-x64-24H2_win11.msu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372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368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46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27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Tue,Wed (every week), 22:59-02:00 on Tue,Wed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Systems offline for patch window (handled by S. Sharma) — 1.4h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VAF machines pending for reboot after APD (handled by G. Kumar) — 2.3h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System pending for updates after APD (handled by A. Saraf)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VAF Servers are pending reboot after APD (handled by G. Kumar) — 1.3h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Disk space issue on VAF-DC-TSVDI-GI (handled by G. Kumar)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Server VAF-DC-3CX-01,VAF-DC-SQL-01,VAF-DC-TS-01 pending for reboot after APD (handled by S. Sharma) — 0.8h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Automotive Finance. Based on that classification, the data Technijian's stack is helping protect is most likely characterized as: Borrower NPI / Credit data.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Auto-finance lenders are non-bank financial institutions under GLBA — full Safeguards Rule applies (16 CFR §314, including the 2023 enhanced security-program requirements). FTC Safeguards Rule layered on the same controls. PCI for any card processing on origination; CCPA for California-resident borrowers.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FTC Safeguards Rule (if dealer): </w:t>
      </w:r>
      <w:r>
        <w:rPr>
          <w:rFonts w:ascii="Open Sans" w:hAnsi="Open Sans"/>
          <w:b w:val="0"/>
          <w:i w:val="0"/>
          <w:color w:val="59595B"/>
          <w:sz w:val="22"/>
        </w:rPr>
        <w:t>the same security-program controls that cover GLBA also satisfy the FTC Safeguards Rule for non-bank financial institutions (including auto dealers).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'VAF'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