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April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471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April 2026, Technijian deployed 471 patches across 47 VAF endpoints — 471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VAF's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management(CST-Time Zone)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DESKTOP-I7CGJRV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VAF-HQ-MCX-01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VAF-DC-TSVDI-GI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(4)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VAF-DC-OPSPRB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VAF-DC-SFTP-01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(2)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VAF-DC-3CX-01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VAF-DC-SFTP-02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169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44.3%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WinSCP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Tim Kosse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0.6%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NVIDIA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Nextcloud GmbH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Realtek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DisplayLink Corp.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69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googlechromestandaloneenterprise64_147.0.7727.56.msi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googlechromestandaloneenterprise64_147.0.7727.138.msi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windows11.0-kb5086672-x64-25H2_win11.msu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googlechromestandaloneenterprise64_146.0.7680.178.msi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Office365_installer_19929.20090B_currentx64.exe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Office365_installer_19822.20168B_currentx64.exe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Office365_installer_19822.20182B_currentx64.exe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Office365_installer_19822.20142B_currentx64.exe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f3c4a477-ae76-481a-8209-14c67b17dbc2_1da674454d30d8e5f2ceb85eb98088251b89a2de_PCI__VEN_8086_DEV_A0F0.cab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microsoftedgeenterprise_146.0.3856.109_x64.msi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windows10.0-kb5082425-x64-ndp481-2022.msu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windows10.0-kb5091575-x64-2022.msu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windows10.0-kb5082142-x64-2022.msu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MicrosoftEdgeWebView2RuntimeInstallerX64_146.0.3856.109.exe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f3c4a477-ae76-481a-8209-14c67b17dbc2_1da674454d30d8e5f2ceb85eb98088251b89a2de_PCI__VEN_8086_DEV_51F0.cab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windows-kb890830-x64-v5.140.exe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e05b46b9-01a4-423e-9eb9-c10fc2ba4dec_d20f27d6dad19c1d34793ee87bf30e930f3eb6f6_PCI__VEN_8086_DEV_46A8.cab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ZoomInstallerFull_7.0.2.34412_64.exe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Inspiron_3530_Vostro_3430_3530_1300.exe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April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372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372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423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795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March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472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1,267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April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485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1,752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April 2026, Technijian has deployed 1,752 patches year-to-date — including 6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471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47 of your endpoints during April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43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18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Tue,Wed (every week), 22:59-02:00 on Tue,Wed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Report of Offline Systems During APD (handled by S. Kumar) — 0.7h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Update missing patch in the computers VAF-HQ-LT-09, VAF-HQ-LT-05, VAF-HQ-LT-12, VAF-HQ-LT-07, and VAF-HQ-LT-15 (handled by S. Kumar) — 1.8h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Remove following VAF-HQ-SUR-21,VAF-HQ-SUR-22 and VAF-HQ-SUR-23 system from portals which are offline more than 30 days (handled by S. Kumar) — 0.6h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flagged as highly vulnerable(VAF-DC-3CX-01, VAF-DC-AD-01, VAF-DC-FS-01, VAF-DC-FS-02, VAF-DC-OPSPRB, VAF-DC-SFTP-02, VAF-DC-SQL-01, and VAF-DC-TS-01.) (handled by S. Kumar) — 2.3h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Patches-  VAF-DC-AD-01, VAF-DC-SFTP-02, VAF-DC-SQL-01, VAF-DC-TS-01 (handled by A. Bhardwaj) — 2.0h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Device Non-Compliant Due to Missing Patches-VAF-DC-3CX-01, VAF-DC-TS-01, VAF-DC-FS-01, VAF-DC-SQL-01, VAF-DC-FS-02, VAF-DC-OPSPRB, VAF-DC-AD-01, and VAF-DC-SFTP-02 (handled by S. Kumar) — 2.2h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Automotive Finance. Based on that classification, the data Technijian's stack is helping protect is most likely characterized as: Borrower NPI / Credit data.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Auto-finance lenders are non-bank financial institutions under GLBA — full Safeguards Rule applies (16 CFR §314, including the 2023 enhanced security-program requirements). FTC Safeguards Rule layered on the same controls. PCI for any card processing on origination; CCPA for California-resident borrowers.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FTC Safeguards Rule (if dealer): </w:t>
      </w:r>
      <w:r>
        <w:rPr>
          <w:rFonts w:ascii="Open Sans" w:hAnsi="Open Sans"/>
          <w:b w:val="0"/>
          <w:i w:val="0"/>
          <w:color w:val="59595B"/>
          <w:sz w:val="22"/>
        </w:rPr>
        <w:t>the same security-program controls that cover GLBA also satisfy the FTC Safeguards Rule for non-bank financial institutions (including auto dealers).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GLBA: </w:t>
      </w:r>
      <w:r>
        <w:rPr>
          <w:rFonts w:ascii="Open Sans" w:hAnsi="Open Sans"/>
          <w:b w:val="0"/>
          <w:i w:val="0"/>
          <w:color w:val="59595B"/>
          <w:sz w:val="22"/>
        </w:rPr>
        <w:t>endpoint protection plus role-based access enforcement help satisfy the GLBA Safeguards Rule's information-security program requirements (16 CFR §314).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'VAF' covering April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