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Via Auto Finance — April 2026</w:t>
      </w:r>
    </w:p>
    <w:p>
      <w:pPr>
        <w:jc w:val="center"/>
      </w:pPr>
      <w:r>
        <w:rPr>
          <w:rFonts w:ascii="Open Sans" w:hAnsi="Open Sans"/>
          <w:b w:val="0"/>
          <w:i w:val="0"/>
          <w:color w:val="59595B"/>
          <w:sz w:val="24"/>
        </w:rPr>
        <w:t>Reporting period: 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210</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210 alert(s) were generated across the reporting period; 7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Via Auto Finance during April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C010018R8J6R23A</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64.58.151.18</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10.254.254.2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64.58.151.18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(5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Internal Zones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WAN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DMZ</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#Default_Network_Policy</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(3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#NAT_Default_Network_Policy</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GuestAccess_DHCP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GuestAP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24</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April 2026: 210.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210</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30</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90</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120</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180</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90</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90</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3 total. Events include policy matches, threat detections, and system activity recorded by the firewall and reported to Sophos Central.</w:t>
      </w:r>
    </w:p>
    <w:p>
      <w:pPr>
        <w:spacing w:after="160"/>
      </w:pPr>
      <w:r>
        <w:rPr>
          <w:rFonts w:ascii="Open Sans" w:hAnsi="Open Sans"/>
          <w:b/>
          <w:i w:val="0"/>
          <w:color w:val="59595B"/>
          <w:sz w:val="22"/>
        </w:rPr>
        <w:t>Events by group:</w:t>
      </w:r>
    </w:p>
    <w:tbl>
      <w:tblPr>
        <w:tblW w:type="auto" w:w="0"/>
        <w:tblLayout w:type="fixed"/>
        <w:tblLook w:firstColumn="1" w:firstRow="1" w:lastColumn="0" w:lastRow="0" w:noHBand="0" w:noVBand="1" w:val="04A0"/>
      </w:tblPr>
      <w:tblGrid>
        <w:gridCol w:w="4680"/>
        <w:gridCol w:w="4680"/>
      </w:tblGrid>
      <w:tr>
        <w:tc>
          <w:tcPr>
            <w:tcW w:type="dxa" w:w="64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 Group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Pr>
        <w:spacing w:after="160"/>
      </w:pPr>
      <w:r>
        <w:rPr>
          <w:rFonts w:ascii="Open Sans" w:hAnsi="Open Sans"/>
          <w:b/>
          <w:i w:val="0"/>
          <w:color w:val="59595B"/>
          <w:sz w:val="22"/>
        </w:rPr>
        <w:t>Top event types:</w:t>
      </w:r>
    </w:p>
    <w:tbl>
      <w:tblPr>
        <w:tblW w:type="auto" w:w="0"/>
        <w:tblLayout w:type="fixed"/>
        <w:tblLook w:firstColumn="1" w:firstRow="1" w:lastColumn="0" w:lastRow="0" w:noHBand="0" w:noVBand="1" w:val="04A0"/>
      </w:tblPr>
      <w:tblGrid>
        <w:gridCol w:w="4680"/>
        <w:gridCol w:w="4680"/>
      </w:tblGrid>
      <w:tr>
        <w:tc>
          <w:tcPr>
            <w:tcW w:type="dxa" w:w="64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 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Event::Firewall::LostConnectionToSophosCentral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Event::Firewall::FirewallGatewayUp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Event::Firewall::Reconnected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Events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Weekly Firewall backup for the VAF  Firewall — 0.3h on 2026-04-05</w:t>
      </w:r>
    </w:p>
    <w:p>
      <w:pPr>
        <w:pStyle w:val="ListBullet"/>
        <w:spacing w:after="80"/>
      </w:pPr>
      <w:r>
        <w:rPr>
          <w:rFonts w:ascii="Open Sans" w:hAnsi="Open Sans"/>
          <w:b w:val="0"/>
          <w:i w:val="0"/>
          <w:color w:val="59595B"/>
          <w:sz w:val="22"/>
        </w:rPr>
        <w:t>Weekly Firewall backup for the VAF  Firewall — 0.3h on 2026-04-12</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Sophos announced no major platform changes this month. Routine detection-content updates and sensor improvements continued to roll out automatically. Technijian tracks Sophos's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Automotive Finance. Based on that classification, the data Technijian's stack is helping protect is most likely characterized as: Borrower NPI / Credit data.</w:t>
      </w:r>
    </w:p>
    <w:p>
      <w:pPr>
        <w:spacing w:after="160"/>
      </w:pPr>
      <w:r>
        <w:rPr>
          <w:rFonts w:ascii="Open Sans" w:hAnsi="Open Sans"/>
          <w:b w:val="0"/>
          <w:i w:val="0"/>
          <w:color w:val="59595B"/>
          <w:sz w:val="21"/>
        </w:rPr>
        <w:t>Auto-finance lenders are non-bank financial institutions under GLBA — full Safeguards Rule applies (16 CFR §314, including the 2023 enhanced security-program requirements). FTC Safeguards Rule layered on the same controls. PCI for any card processing on origination; CCPA for California-resident borrowers.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FTC Safeguards Rule (if dealer): </w:t>
      </w:r>
      <w:r>
        <w:rPr>
          <w:rFonts w:ascii="Open Sans" w:hAnsi="Open Sans"/>
          <w:b w:val="0"/>
          <w:i w:val="0"/>
          <w:color w:val="59595B"/>
          <w:sz w:val="22"/>
        </w:rPr>
        <w:t>the same security-program controls that cover GLBA also satisfy the FTC Safeguards Rule for non-bank financial institutions (including auto dealers).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30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7 alert(s) remain open in Sophos Central. Log into the Central dashboard and acknowledge or dismiss any stale alerts to keep the alert queue clean.</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20:00 for client 'VAF'.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