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Backup Health Report</w:t>
      </w:r>
    </w:p>
    <w:p>
      <w:pPr>
        <w:spacing w:after="120"/>
        <w:jc w:val="center"/>
      </w:pPr>
      <w:r>
        <w:rPr>
          <w:rFonts w:ascii="Open Sans" w:hAnsi="Open Sans"/>
          <w:b w:val="0"/>
          <w:i w:val="0"/>
          <w:color w:val="59595B"/>
          <w:sz w:val="32"/>
        </w:rPr>
        <w:t>VAF — March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Repositories Watched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6.0 TB</w:t>
            </w:r>
          </w:p>
          <w:p>
            <w:pPr>
              <w:spacing w:before="0" w:after="240"/>
              <w:jc w:val="center"/>
            </w:pPr>
            <w:r>
              <w:rPr>
                <w:rFonts w:ascii="Open Sans" w:hAnsi="Open Sans"/>
                <w:b w:val="0"/>
                <w:i w:val="0"/>
                <w:color w:val="59595B"/>
                <w:sz w:val="20"/>
              </w:rPr>
              <w:t>Total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98%</w:t>
            </w:r>
          </w:p>
          <w:p>
            <w:pPr>
              <w:spacing w:before="0" w:after="240"/>
              <w:jc w:val="center"/>
            </w:pPr>
            <w:r>
              <w:rPr>
                <w:rFonts w:ascii="Open Sans" w:hAnsi="Open Sans"/>
                <w:b w:val="0"/>
                <w:i w:val="0"/>
                <w:color w:val="59595B"/>
                <w:sz w:val="20"/>
              </w:rPr>
              <w:t>Used Capacity</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 days</w:t>
            </w:r>
          </w:p>
          <w:p>
            <w:pPr>
              <w:spacing w:before="0" w:after="240"/>
              <w:jc w:val="center"/>
            </w:pPr>
            <w:r>
              <w:rPr>
                <w:rFonts w:ascii="Open Sans" w:hAnsi="Open Sans"/>
                <w:b w:val="0"/>
                <w:i w:val="0"/>
                <w:color w:val="59595B"/>
                <w:sz w:val="20"/>
              </w:rPr>
              <w:t>Storage Runway</w:t>
            </w:r>
          </w:p>
        </w:tc>
      </w:tr>
    </w:tbl>
    <w:p>
      <w:pPr>
        <w:spacing w:after="160"/>
      </w:pPr>
      <w:r>
        <w:rPr>
          <w:rFonts w:ascii="Open Sans" w:hAnsi="Open Sans"/>
          <w:b w:val="0"/>
          <w:i w:val="0"/>
          <w:color w:val="59595B"/>
          <w:sz w:val="22"/>
        </w:rPr>
        <w:t>Technijian's Veeam ONE monitoring tracked 1 backup repository for VAF as of 2026-05-02. Total capacity is 6.0 TB with a projected runway of 6 days at the current growth rate. Capacity, repository state, and business-view coverage are under continuous monitoring.</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Repository Capacity</w:t>
            </w:r>
          </w:p>
        </w:tc>
      </w:tr>
    </w:tbl>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Runway</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Max Tasks</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Immutable</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bkp_VAF</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 TB</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151.8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days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Healthy</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Business View Coverage</w:t>
            </w:r>
          </w:p>
        </w:tc>
      </w:tr>
    </w:tbl>
    <w:p>
      <w:pPr>
        <w:spacing w:after="160"/>
      </w:pPr>
      <w:r>
        <w:rPr>
          <w:rFonts w:ascii="Open Sans" w:hAnsi="Open Sans"/>
          <w:b w:val="0"/>
          <w:i w:val="0"/>
          <w:color w:val="59595B"/>
          <w:sz w:val="22"/>
        </w:rPr>
        <w:t>Veeam ONE is tracking 1 business view group(s) for this client — these tags are used to roll up backup posture by category for clearer SLA reporting.</w:t>
      </w:r>
    </w:p>
    <w:tbl>
      <w:tblPr>
        <w:tblW w:type="auto" w:w="0"/>
        <w:tblLayout w:type="fixed"/>
        <w:tblLook w:firstColumn="1" w:firstRow="1" w:lastColumn="0" w:lastRow="0" w:noHBand="0" w:noVBand="1" w:val="04A0"/>
      </w:tblPr>
      <w:tblGrid>
        <w:gridCol w:w="3120"/>
        <w:gridCol w:w="3120"/>
        <w:gridCol w:w="3120"/>
      </w:tblGrid>
      <w:tr>
        <w:tc>
          <w:tcPr>
            <w:tcW w:type="dxa" w:w="432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Group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Object Type</w:t>
            </w:r>
          </w:p>
        </w:tc>
      </w:tr>
      <w:tr>
        <w:tc>
          <w:tcPr>
            <w:tcW w:type="dxa" w:w="432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DS-NBD1-VAF</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Datastore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VSphereVm</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Recovery Posture</w:t>
            </w:r>
          </w:p>
        </w:tc>
      </w:tr>
    </w:tbl>
    <w:p>
      <w:pPr>
        <w:spacing w:after="160"/>
      </w:pPr>
      <w:r>
        <w:rPr>
          <w:rFonts w:ascii="Open Sans" w:hAnsi="Open Sans"/>
          <w:b w:val="0"/>
          <w:i w:val="0"/>
          <w:color w:val="59595B"/>
          <w:sz w:val="22"/>
        </w:rPr>
        <w:t>Recovery posture is the combined picture of how much capacity we have, how fast it's being consumed, and how resistant the backup chain is to ransomware. Veeam ONE projects each of these and surfaces alarms before they become incidents.</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Recovery Metric</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Current State</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under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Capacity utilization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98%</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Projected storage runway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days</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Repositories with immutability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0/1</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Projected runway is 6 days. Capacity expansion should be scheduled now to keep the runway from dropping below operational comfort.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1 backup repository </w:t>
      </w:r>
      <w:r>
        <w:rPr>
          <w:rFonts w:ascii="Open Sans" w:hAnsi="Open Sans"/>
          <w:b w:val="0"/>
          <w:i w:val="0"/>
          <w:color w:val="59595B"/>
          <w:sz w:val="22"/>
        </w:rPr>
        <w:t>via Veeam ONE during March 2026, capturing capacity, free space, and projected runway every day.</w:t>
      </w:r>
    </w:p>
    <w:p>
      <w:pPr>
        <w:pStyle w:val="ListBullet"/>
        <w:spacing w:after="80"/>
      </w:pPr>
      <w:r>
        <w:rPr>
          <w:rFonts w:ascii="Open Sans" w:hAnsi="Open Sans"/>
          <w:b/>
          <w:i w:val="0"/>
          <w:color w:val="1A1A2E"/>
          <w:sz w:val="22"/>
        </w:rPr>
        <w:t xml:space="preserve">Tracked storage runway: </w:t>
      </w:r>
      <w:r>
        <w:rPr>
          <w:rFonts w:ascii="Open Sans" w:hAnsi="Open Sans"/>
          <w:b w:val="0"/>
          <w:i w:val="0"/>
          <w:color w:val="59595B"/>
          <w:sz w:val="22"/>
        </w:rPr>
        <w:t>Veeam ONE projects when each repository will fill at the current growth rate; we use that signal to schedule capacity expansions well before any repository hits a critical threshold.</w:t>
      </w:r>
    </w:p>
    <w:p>
      <w:pPr>
        <w:pStyle w:val="ListBullet"/>
        <w:spacing w:after="80"/>
      </w:pPr>
      <w:r>
        <w:rPr>
          <w:rFonts w:ascii="Open Sans" w:hAnsi="Open Sans"/>
          <w:b/>
          <w:i w:val="0"/>
          <w:color w:val="1A1A2E"/>
          <w:sz w:val="22"/>
        </w:rPr>
        <w:t xml:space="preserve">Verified backup infrastructure health: </w:t>
      </w:r>
      <w:r>
        <w:rPr>
          <w:rFonts w:ascii="Open Sans" w:hAnsi="Open Sans"/>
          <w:b w:val="0"/>
          <w:i w:val="0"/>
          <w:color w:val="59595B"/>
          <w:sz w:val="22"/>
        </w:rPr>
        <w:t>repository state, concurrent task limits, and immutability flags were all reviewed to keep the backup posture aligned with best practice.</w:t>
      </w:r>
    </w:p>
    <w:p>
      <w:pPr>
        <w:pStyle w:val="ListBullet"/>
        <w:spacing w:after="80"/>
      </w:pPr>
      <w:r>
        <w:rPr>
          <w:rFonts w:ascii="Open Sans" w:hAnsi="Open Sans"/>
          <w:b/>
          <w:i w:val="0"/>
          <w:color w:val="1A1A2E"/>
          <w:sz w:val="22"/>
        </w:rPr>
        <w:t xml:space="preserve">Maintained 24×7 alerting: </w:t>
      </w:r>
      <w:r>
        <w:rPr>
          <w:rFonts w:ascii="Open Sans" w:hAnsi="Open Sans"/>
          <w:b w:val="0"/>
          <w:i w:val="0"/>
          <w:color w:val="59595B"/>
          <w:sz w:val="22"/>
        </w:rPr>
        <w:t>any repository that approaches a capacity or health threshold raises an alarm that's triaged by Technijian's tech team.</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Veeam announced no major platform changes this month. Routine detection-content updates and sensor improvements continued to roll out automatically. Technijian tracks Veeam's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Plan capacity expansion: </w:t>
      </w:r>
      <w:r>
        <w:rPr>
          <w:rFonts w:ascii="Open Sans" w:hAnsi="Open Sans"/>
          <w:b w:val="0"/>
          <w:i w:val="0"/>
          <w:color w:val="59595B"/>
          <w:sz w:val="22"/>
        </w:rPr>
        <w:t>projected storage runway is 6 days. We recommend a capacity review now so expansion is coordinated before the runway drops below 60 days.</w:t>
      </w:r>
    </w:p>
    <w:p>
      <w:pPr>
        <w:pStyle w:val="ListBullet"/>
        <w:spacing w:after="80"/>
      </w:pPr>
      <w:r>
        <w:rPr>
          <w:rFonts w:ascii="Open Sans" w:hAnsi="Open Sans"/>
          <w:b/>
          <w:i w:val="0"/>
          <w:color w:val="1A1A2E"/>
          <w:sz w:val="22"/>
        </w:rPr>
        <w:t xml:space="preserve">Enable immutability where supported: </w:t>
      </w:r>
      <w:r>
        <w:rPr>
          <w:rFonts w:ascii="Open Sans" w:hAnsi="Open Sans"/>
          <w:b w:val="0"/>
          <w:i w:val="0"/>
          <w:color w:val="59595B"/>
          <w:sz w:val="22"/>
        </w:rPr>
        <w:t>none of the watched repositories enforce immutable backups today. Where the underlying storage supports it, immutable retention provides strong ransomware resilience.</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Veeam ONE — the monitoring layer that watches Technijian's backup infrastructure 24×7. Capacity, runway, and health state are live snapshots; the calendar month above identifies the reporting period.</w:t>
      </w:r>
    </w:p>
    <w:p>
      <w:pPr>
        <w:spacing w:after="160"/>
      </w:pPr>
      <w:r>
        <w:rPr>
          <w:rFonts w:ascii="Open Sans" w:hAnsi="Open Sans"/>
          <w:b w:val="0"/>
          <w:i w:val="0"/>
          <w:color w:val="59595B"/>
          <w:sz w:val="22"/>
        </w:rPr>
        <w:t>Veeam ONE host: TE-DC-VONE-01 (10.7.9.135). Snapshot date: 2026-05-02. Report generated 2026-05-02 20:00 for client 'VAF' covering March 2026.</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