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Vintage Group</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Vintage Group during March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3</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EA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No Critical or High severity alerts fired this month. Falcon continued to monitor your environment 24x7 and Technijian's team reviewed all 3 detection(s) raised.</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March 2026, CrowdStrike Falcon raised 3 alert(s) across 1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 at 2026-03-31T08:29:02Z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VG-DC-3CX-02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3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pPr>
        <w:spacing w:after="160"/>
      </w:pPr>
      <w:r>
        <w:rPr>
          <w:rFonts w:ascii="Open Sans" w:hAnsi="Open Sans"/>
          <w:b/>
          <w:i w:val="0"/>
          <w:color w:val="1A1A2E"/>
          <w:sz w:val="24"/>
        </w:rPr>
        <w:t>Specific work delivered this month</w:t>
      </w:r>
    </w:p>
    <w:p>
      <w:pPr>
        <w:spacing w:after="160"/>
      </w:pPr>
      <w:r>
        <w:rPr>
          <w:rFonts w:ascii="Open Sans" w:hAnsi="Open Sans"/>
          <w:b w:val="0"/>
          <w:i w:val="0"/>
          <w:color w:val="59595B"/>
          <w:sz w:val="22"/>
        </w:rPr>
        <w:t>These items are pulled directly from the time entries and tickets logged by Technijian's team during the period — actual work, not estimates.</w:t>
      </w:r>
    </w:p>
    <w:p>
      <w:pPr>
        <w:pStyle w:val="ListBullet"/>
        <w:spacing w:after="80"/>
      </w:pPr>
      <w:r>
        <w:rPr>
          <w:rFonts w:ascii="Open Sans" w:hAnsi="Open Sans"/>
          <w:b w:val="0"/>
          <w:i w:val="0"/>
          <w:color w:val="59595B"/>
          <w:sz w:val="22"/>
        </w:rPr>
        <w:t>CrowdStrike Sensor Updated with Version 7.34.20610.0: VG-DC-3CX-02 (handled by D. Bhardwaj) — 0.2h of tech effort</w:t>
      </w:r>
    </w:p>
    <w:p>
      <w:pPr>
        <w:pStyle w:val="ListBullet"/>
        <w:spacing w:after="80"/>
      </w:pPr>
      <w:r>
        <w:rPr>
          <w:rFonts w:ascii="Open Sans" w:hAnsi="Open Sans"/>
          <w:b w:val="0"/>
          <w:i w:val="0"/>
          <w:color w:val="59595B"/>
          <w:sz w:val="22"/>
        </w:rPr>
        <w:t>CrowdStrike Sensor Updated with Version 7.34.20610.0: VG-DC-3CX-02 — 0.2h on 2026-03-30</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val="0"/>
          <w:i w:val="0"/>
          <w:color w:val="59595B"/>
          <w:sz w:val="22"/>
        </w:rPr>
        <w:t>No Critical or High severity alerts fired this month. Continue operating under your current Falcon policy and email support@technijian.com if you plan to add or remove endpoints.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General Business. Based on that classification, the data Technijian's stack is helping protect is most likely characterized as: Customer / employee PII.</w:t>
      </w:r>
    </w:p>
    <w:p>
      <w:pPr>
        <w:spacing w:after="160"/>
      </w:pPr>
      <w:r>
        <w:rPr>
          <w:rFonts w:ascii="Open Sans" w:hAnsi="Open Sans"/>
          <w:b w:val="0"/>
          <w:i w:val="0"/>
          <w:color w:val="59595B"/>
          <w:sz w:val="21"/>
        </w:rPr>
        <w:t>No clear industry signal in the client name — defaulting to general California business privacy law (CCPA) for any California-resident data the client processes. Tech can override the industry / compliance scope by editing this file.</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