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AOC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Q3KA-3XSD-MC3U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10.1.1.106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appliance, camera, cellularGateway, sensor, switch, 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AOC-HQ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L3 Outbound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Allow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Inbound Firewall Rules: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Policy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Proto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Source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Destination</w:t>
            </w:r>
          </w:p>
        </w:tc>
        <w:tc>
          <w:tcPr>
            <w:tcW w:type="dxa" w:w="316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Comment</w:t>
            </w:r>
          </w:p>
        </w:tc>
      </w:tr>
      <w:tr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Deny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Any</w:t>
            </w:r>
          </w:p>
        </w:tc>
        <w:tc>
          <w:tcPr>
            <w:tcW w:type="dxa" w:w="316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Default rule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AAOC(secure)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AAOC(guest)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None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Forward syslog: </w:t>
      </w:r>
      <w:r>
        <w:rPr>
          <w:rFonts w:ascii="Open Sans" w:hAnsi="Open Sans"/>
          <w:b w:val="0"/>
          <w:i w:val="0"/>
          <w:color w:val="59595B"/>
          <w:sz w:val="22"/>
        </w:rPr>
        <w:t>appliances on AOC-HQ are not configured to forward syslog. Pointing these at the Technijian central syslog receiver lets us perform per-signature historical analysis beyond the Meraki API's 31-day window.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2026-04-30 09:49 for client code 'aoc'. Configuration snapshot taken 2026-04-30T16:48:48Z.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