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/>
    <w:p/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43200" cy="571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technijian-logo-full-color-600x125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43200" cy="571500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2160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  <w:shd w:val="clear" w:color="auto" w:fill="F67D4B"/>
          </w:tcPr>
          <w:p>
            <w:pPr>
              <w:spacing w:before="0" w:after="0"/>
            </w:pPr>
            <w:r>
              <w:rPr>
                <w:sz w:val="6"/>
              </w:rPr>
            </w:r>
          </w:p>
        </w:tc>
        <w:tc>
          <w:tcPr>
            <w:tcW w:type="dxa" w:w="3528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</w:tr>
    </w:tbl>
    <w:p/>
    <w:p>
      <w:pPr>
        <w:jc w:val="center"/>
      </w:pPr>
      <w:r>
        <w:rPr>
          <w:rFonts w:ascii="Open Sans" w:hAnsi="Open Sans"/>
          <w:b/>
          <w:i w:val="0"/>
          <w:color w:val="1A1A2E"/>
          <w:sz w:val="56"/>
        </w:rPr>
        <w:t>Meraki Monthly Activity</w:t>
      </w:r>
    </w:p>
    <w:p>
      <w:pPr>
        <w:spacing w:after="120"/>
        <w:jc w:val="center"/>
      </w:pPr>
      <w:r>
        <w:rPr>
          <w:rFonts w:ascii="Open Sans" w:hAnsi="Open Sans"/>
          <w:b w:val="0"/>
          <w:i w:val="0"/>
          <w:color w:val="59595B"/>
          <w:sz w:val="32"/>
        </w:rPr>
        <w:t>BWH — April 2026</w:t>
      </w:r>
    </w:p>
    <w:p>
      <w:pPr>
        <w:jc w:val="center"/>
      </w:pPr>
      <w:r>
        <w:rPr>
          <w:rFonts w:ascii="Open Sans" w:hAnsi="Open Sans"/>
          <w:b w:val="0"/>
          <w:i w:val="0"/>
          <w:color w:val="59595B"/>
          <w:sz w:val="24"/>
        </w:rPr>
        <w:t>Reporting period: April 2026</w:t>
      </w:r>
    </w:p>
    <w:p/>
    <w:p/>
    <w:p/>
    <w:p/>
    <w:p/>
    <w:p/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F67D4B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0" w:after="0"/>
            </w:pPr>
            <w:r>
              <w:rPr>
                <w:sz w:val="12"/>
              </w:rPr>
            </w:r>
          </w:p>
        </w:tc>
      </w:tr>
    </w:tbl>
    <w:p>
      <w:pPr>
        <w:spacing w:before="160"/>
        <w:jc w:val="center"/>
      </w:pPr>
      <w:r>
        <w:rPr>
          <w:rFonts w:ascii="Open Sans" w:hAnsi="Open Sans"/>
          <w:b w:val="0"/>
          <w:i/>
          <w:color w:val="59595B"/>
          <w:sz w:val="18"/>
        </w:rPr>
        <w:t>Confidential — for internal Technijian and named-client use only.</w:t>
      </w:r>
    </w:p>
    <w:p>
      <w:r>
        <w:br w:type="page"/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Executive Summary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1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6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Devices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IDS/IPS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1EAAC8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Activity events</w:t>
            </w:r>
          </w:p>
        </w:tc>
        <w:tc>
          <w:tcPr>
            <w:tcW w:type="dxa" w:w="1872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28A745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Config changes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All clear — no IDS/IPS or AMP events were recorded across the reporting period. Continue normal monitoring.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summarizes Cisco Meraki firewall, intrusion-prevention (IDS/IPS), advanced-malware-protection (AMP), and configuration posture for BWH during 2026-04. Activity counts are aggregated from daily Meraki Dashboard API pulls; configuration reflects the most recent snapshot.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Network &amp; Device Inventory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Device inventory: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172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Device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Model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Serial</w:t>
            </w:r>
          </w:p>
        </w:tc>
        <w:tc>
          <w:tcPr>
            <w:tcW w:type="dxa" w:w="144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Firmware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LAN IP</w:t>
            </w:r>
          </w:p>
        </w:tc>
        <w:tc>
          <w:tcPr>
            <w:tcW w:type="dxa" w:w="115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Type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BWH-ECS-01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MT10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Q3CA-MM6G-ZD6Z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mt-1-5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sensor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Q3AL-7YJ4-26U9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10.1.1.81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Q3AL-WMRR-MEX5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10.1.1.82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Q3AL-4G3J-XP2R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10.1.1.83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Q3AL-PBN7-RWQX</w:t>
            </w:r>
          </w:p>
        </w:tc>
        <w:tc>
          <w:tcPr>
            <w:tcW w:type="dxa" w:w="144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10.1.1.84</w:t>
            </w:r>
          </w:p>
        </w:tc>
        <w:tc>
          <w:tcPr>
            <w:tcW w:type="dxa" w:w="115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  <w:tr>
        <w:tc>
          <w:tcPr>
            <w:tcW w:type="dxa" w:w="1728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BWH-HQ-AP-05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MR44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Q3AL-F4TK-33KB</w:t>
            </w:r>
          </w:p>
        </w:tc>
        <w:tc>
          <w:tcPr>
            <w:tcW w:type="dxa" w:w="144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wireless-31-1-7</w:t>
            </w:r>
          </w:p>
        </w:tc>
        <w:tc>
          <w:tcPr>
            <w:tcW w:type="dxa" w:w="1296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10.1.1.85</w:t>
            </w:r>
          </w:p>
        </w:tc>
        <w:tc>
          <w:tcPr>
            <w:tcW w:type="dxa" w:w="1152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wireless</w:t>
            </w:r>
          </w:p>
        </w:tc>
      </w:tr>
    </w:tbl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Networks under management: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44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872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Product types</w:t>
            </w:r>
          </w:p>
        </w:tc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VLANs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L3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L7 rules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Inbound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Port fwd</w:t>
            </w:r>
          </w:p>
        </w:tc>
      </w:tr>
      <w:tr>
        <w:tc>
          <w:tcPr>
            <w:tcW w:type="dxa" w:w="244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872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appliance, camera, cellularGateway, sensor, switch, wireless</w:t>
            </w:r>
          </w:p>
        </w:tc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1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Configuration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Full configuration snapshot of WAN interfaces, firewall rules, VLANs, port-forwarding, wireless SSIDs, and site-to-site VPN per network. Values reflect the most recent configuration pull.</w:t>
      </w:r>
    </w:p>
    <w:p>
      <w:pPr>
        <w:spacing w:after="160"/>
      </w:pPr>
      <w:r>
        <w:rPr>
          <w:rFonts w:ascii="Open Sans" w:hAnsi="Open Sans"/>
          <w:b/>
          <w:i w:val="0"/>
          <w:color w:val="59595B"/>
          <w:sz w:val="22"/>
        </w:rPr>
        <w:t>BWH-HQ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L3 Outbound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Allow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Inbound Firewall Rules: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86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Policy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Proto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Source</w:t>
            </w:r>
          </w:p>
        </w:tc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Destination</w:t>
            </w:r>
          </w:p>
        </w:tc>
        <w:tc>
          <w:tcPr>
            <w:tcW w:type="dxa" w:w="316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Comment</w:t>
            </w:r>
          </w:p>
        </w:tc>
      </w:tr>
      <w:tr>
        <w:tc>
          <w:tcPr>
            <w:tcW w:type="dxa" w:w="86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Deny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Any</w:t>
            </w:r>
          </w:p>
        </w:tc>
        <w:tc>
          <w:tcPr>
            <w:tcW w:type="dxa" w:w="316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Default rule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Wireless SSIDs (enabled):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57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#</w:t>
            </w:r>
          </w:p>
        </w:tc>
        <w:tc>
          <w:tcPr>
            <w:tcW w:type="dxa" w:w="43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SSID Name</w:t>
            </w:r>
          </w:p>
        </w:tc>
        <w:tc>
          <w:tcPr>
            <w:tcW w:type="dxa" w:w="28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Auth Mode</w:t>
            </w:r>
          </w:p>
        </w:tc>
      </w:tr>
      <w:tr>
        <w:tc>
          <w:tcPr>
            <w:tcW w:type="dxa" w:w="57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43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Brandywine Homes</w:t>
            </w:r>
          </w:p>
        </w:tc>
        <w:tc>
          <w:tcPr>
            <w:tcW w:type="dxa" w:w="28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PSK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Security Posture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Current configuration of the intrusion-prevention engine, anti-malware protection, content filtering, site-to-site VPN, and syslog forwarding per network.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1337"/>
        <w:gridCol w:w="1337"/>
        <w:gridCol w:w="1337"/>
        <w:gridCol w:w="1337"/>
        <w:gridCol w:w="1337"/>
        <w:gridCol w:w="1337"/>
        <w:gridCol w:w="1337"/>
      </w:tblGrid>
      <w:tr>
        <w:tc>
          <w:tcPr>
            <w:tcW w:type="dxa" w:w="216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Network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IDS/IPS mode</w:t>
            </w:r>
          </w:p>
        </w:tc>
        <w:tc>
          <w:tcPr>
            <w:tcW w:type="dxa" w:w="108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AMP mode</w:t>
            </w:r>
          </w:p>
        </w:tc>
        <w:tc>
          <w:tcPr>
            <w:tcW w:type="dxa" w:w="1224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cats blocked</w:t>
            </w:r>
          </w:p>
        </w:tc>
        <w:tc>
          <w:tcPr>
            <w:tcW w:type="dxa" w:w="129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URL patterns blocked</w:t>
            </w:r>
          </w:p>
        </w:tc>
        <w:tc>
          <w:tcPr>
            <w:tcW w:type="dxa" w:w="1008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S2S VPN</w:t>
            </w:r>
          </w:p>
        </w:tc>
        <w:tc>
          <w:tcPr>
            <w:tcW w:type="dxa" w:w="936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Syslog dests</w:t>
            </w:r>
          </w:p>
        </w:tc>
      </w:tr>
      <w:tr>
        <w:tc>
          <w:tcPr>
            <w:tcW w:type="dxa" w:w="216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BWH-HQ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08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—</w:t>
            </w:r>
          </w:p>
        </w:tc>
        <w:tc>
          <w:tcPr>
            <w:tcW w:type="dxa" w:w="1224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29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1008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None</w:t>
            </w:r>
          </w:p>
        </w:tc>
        <w:tc>
          <w:tcPr>
            <w:tcW w:type="dxa" w:w="93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Configuration Changes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Total changes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Admins active</w:t>
            </w:r>
          </w:p>
        </w:tc>
        <w:tc>
          <w:tcPr>
            <w:tcW w:type="dxa" w:w="3120"/>
            <w:shd w:val="clear" w:color="auto" w:fill="F8F9FA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240" w:after="0"/>
              <w:jc w:val="center"/>
            </w:pPr>
            <w:r>
              <w:rPr>
                <w:rFonts w:ascii="Open Sans" w:hAnsi="Open Sans"/>
                <w:b/>
                <w:i w:val="0"/>
                <w:color w:val="006DB6"/>
                <w:sz w:val="48"/>
              </w:rPr>
              <w:t>0</w:t>
            </w:r>
          </w:p>
          <w:p>
            <w:pPr>
              <w:spacing w:before="0" w:after="240"/>
              <w:jc w:val="center"/>
            </w:pPr>
            <w:r>
              <w:rPr>
                <w:rFonts w:ascii="Open Sans" w:hAnsi="Open Sans"/>
                <w:b w:val="0"/>
                <w:i w:val="0"/>
                <w:color w:val="59595B"/>
                <w:sz w:val="20"/>
              </w:rPr>
              <w:t>Networks affected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configuration changes were recorded via the Meraki Dashboard this month. The environment is stable and the documented baseline is intact.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IDS/IPS &amp; AMP Events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IDS/IPS and AMP events captured during the reporting period: 0 across 0 days with activity.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val="clear" w:color="auto" w:fill="EAF7EE"/>
            <w:tcBorders>
              <w:top w:val="single" w:sz="12" w:color="28A745"/>
              <w:left w:val="single" w:sz="12" w:color="28A745"/>
              <w:bottom w:val="single" w:sz="12" w:color="28A745"/>
              <w:right w:val="single" w:sz="12" w:color="28A745"/>
            </w:tcBorders>
          </w:tcPr>
          <w:p>
            <w:pPr>
              <w:spacing w:before="120" w:after="120"/>
            </w:pPr>
            <w:r>
              <w:rPr>
                <w:rFonts w:ascii="Open Sans" w:hAnsi="Open Sans"/>
                <w:b w:val="0"/>
                <w:i w:val="0"/>
                <w:color w:val="1A1A2E"/>
                <w:sz w:val="22"/>
              </w:rPr>
              <w:t>No security events were recorded during this period. This indicates either a clean network or that the IDS/IPS engine is in detection-only mode with no triggered signatures. Review the Security Posture section to confirm the intended configuration.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Firewall &amp; Network Activity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Total firewall, VPN, DHCP, and connectivity events: 0 across 0 active networks.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No appliance-layer activity events were recorded for this period. Wireless-only networks (no MX appliance) and dormant sites typically show zero events here — verify the network topology in the inventory above if this is unexpected.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Daily Trend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Day-by-day count of intrusion-prevention events versus appliance-layer activity events. Use this to spot anomalies — sudden spikes typically correlate with outbound malware activity, port scans, or VPN tunnel flapping.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60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Date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Security events</w:t>
            </w:r>
          </w:p>
        </w:tc>
        <w:tc>
          <w:tcPr>
            <w:tcW w:type="dxa" w:w="2520"/>
            <w:shd w:val="clear" w:color="auto" w:fill="006DB6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/>
                <w:i w:val="0"/>
                <w:color w:val="FFFFFF"/>
                <w:sz w:val="20"/>
              </w:rPr>
              <w:t>Activity events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2026-04-09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2026-04-19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2026-04-21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2026-04-22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2026-04-23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2026-04-24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2026-04-25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2026-04-26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2026-04-27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2026-04-28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shd w:val="clear" w:color="auto" w:fill="F8F9FA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  <w:tr>
        <w:tc>
          <w:tcPr>
            <w:tcW w:type="dxa" w:w="360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2026-04-29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  <w:tc>
          <w:tcPr>
            <w:tcW w:type="dxa" w:w="2520"/>
            <w:tcBorders>
              <w:top w:val="single" w:sz="4" w:color="E9ECEF"/>
              <w:left w:val="single" w:sz="4" w:color="E9ECEF"/>
              <w:bottom w:val="single" w:sz="4" w:color="E9ECEF"/>
              <w:right w:val="single" w:sz="4" w:color="E9ECEF"/>
            </w:tcBorders>
          </w:tcPr>
          <w:p>
            <w:pPr>
              <w:spacing w:before="40" w:after="40"/>
            </w:pPr>
            <w:r>
              <w:rPr>
                <w:rFonts w:ascii="Open Sans" w:hAnsi="Open Sans"/>
                <w:b w:val="0"/>
                <w:i w:val="0"/>
                <w:color w:val="59595B"/>
                <w:sz w:val="19"/>
              </w:rPr>
              <w:t>0</w:t>
            </w:r>
          </w:p>
        </w:tc>
      </w:tr>
    </w:tbl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What Technijian Did For You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Throughout the reporting period the Technijian network operations team performed the following ongoing services for your Meraki environment: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24x7 monitoring: </w:t>
      </w:r>
      <w:r>
        <w:rPr>
          <w:rFonts w:ascii="Open Sans" w:hAnsi="Open Sans"/>
          <w:b w:val="0"/>
          <w:i w:val="0"/>
          <w:color w:val="59595B"/>
          <w:sz w:val="22"/>
        </w:rPr>
        <w:t>continuous health checks against every Meraki appliance, switch, and access point in your dashboard.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Threat intelligence: </w:t>
      </w:r>
      <w:r>
        <w:rPr>
          <w:rFonts w:ascii="Open Sans" w:hAnsi="Open Sans"/>
          <w:b w:val="0"/>
          <w:i w:val="0"/>
          <w:color w:val="59595B"/>
          <w:sz w:val="22"/>
        </w:rPr>
        <w:t>Cisco's Talos and AMP feeds are kept current; signature definitions update automatically as Cisco publishes them.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Configuration drift detection: </w:t>
      </w:r>
      <w:r>
        <w:rPr>
          <w:rFonts w:ascii="Open Sans" w:hAnsi="Open Sans"/>
          <w:b w:val="0"/>
          <w:i w:val="0"/>
          <w:color w:val="59595B"/>
          <w:sz w:val="22"/>
        </w:rPr>
        <w:t>daily snapshots of firewall rules, VLANs, content filtering, IDS/IPS settings, and VPN configuration; deviations from the documented baseline are reviewed.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Incident review: </w:t>
      </w:r>
      <w:r>
        <w:rPr>
          <w:rFonts w:ascii="Open Sans" w:hAnsi="Open Sans"/>
          <w:b w:val="0"/>
          <w:i w:val="0"/>
          <w:color w:val="59595B"/>
          <w:sz w:val="22"/>
        </w:rPr>
        <w:t>high-priority security alerts are triaged within the on-call SLA and ticketed in the Technijian Client Portal.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Monthly reporting: </w:t>
      </w:r>
      <w:r>
        <w:rPr>
          <w:rFonts w:ascii="Open Sans" w:hAnsi="Open Sans"/>
          <w:b w:val="0"/>
          <w:i w:val="0"/>
          <w:color w:val="59595B"/>
          <w:sz w:val="22"/>
        </w:rPr>
        <w:t>this document — every line item is sourced from the Meraki Dashboard API and verified through a structural proofreader before delivery.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Recommendations</w:t>
            </w:r>
          </w:p>
        </w:tc>
      </w:tr>
    </w:tbl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Forward syslog: </w:t>
      </w:r>
      <w:r>
        <w:rPr>
          <w:rFonts w:ascii="Open Sans" w:hAnsi="Open Sans"/>
          <w:b w:val="0"/>
          <w:i w:val="0"/>
          <w:color w:val="59595B"/>
          <w:sz w:val="22"/>
        </w:rPr>
        <w:t>appliances on BWH-HQ are not configured to forward syslog. Pointing these at the Technijian central syslog receiver lets us perform per-signature historical analysis beyond the Meraki API's 31-day window.</w:t>
      </w:r>
    </w:p>
    <w:p>
      <w:pPr>
        <w:pStyle w:val="ListBullet"/>
        <w:spacing w:after="80"/>
      </w:pPr>
      <w:r>
        <w:rPr>
          <w:rFonts w:ascii="Open Sans" w:hAnsi="Open Sans"/>
          <w:b/>
          <w:i w:val="0"/>
          <w:color w:val="1A1A2E"/>
          <w:sz w:val="22"/>
        </w:rPr>
        <w:t xml:space="preserve">Validate detection coverage: </w:t>
      </w:r>
      <w:r>
        <w:rPr>
          <w:rFonts w:ascii="Open Sans" w:hAnsi="Open Sans"/>
          <w:b w:val="0"/>
          <w:i w:val="0"/>
          <w:color w:val="59595B"/>
          <w:sz w:val="22"/>
        </w:rPr>
        <w:t>zero security events for the period is unusual unless the network is genuinely low-traffic. Consider running a controlled test (e.g., EICAR file download from an isolated workstation) to confirm the IDS/IPS pipeline end-to-end.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4"/>
        <w:gridCol w:w="8976"/>
      </w:tblGrid>
      <w:tr>
        <w:tc>
          <w:tcPr>
            <w:tcW w:type="dxa" w:w="94"/>
            <w:shd w:val="clear" w:color="auto" w:fill="006DB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/>
        </w:tc>
        <w:tc>
          <w:tcPr>
            <w:tcW w:type="dxa" w:w="8976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spacing w:before="80" w:after="80"/>
            </w:pPr>
            <w:r>
              <w:rPr>
                <w:rFonts w:ascii="Open Sans" w:hAnsi="Open Sans"/>
                <w:b/>
                <w:i w:val="0"/>
                <w:color w:val="006DB6"/>
                <w:sz w:val="28"/>
              </w:rPr>
              <w:t xml:space="preserve">  About This Report</w:t>
            </w:r>
          </w:p>
        </w:tc>
      </w:tr>
    </w:tbl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This report is generated automatically from the Cisco Meraki Dashboard API by Technijian's annual-client-review pipeline. Every figure shown is sourced from the API at report-generation time; no manual data entry is involved.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Report generated 2026-04-30 09:49 for client code 'bwh'. Configuration snapshot taken 2026-04-30T16:48:54Z.</w:t>
      </w:r>
    </w:p>
    <w:p>
      <w:pPr>
        <w:spacing w:after="160"/>
      </w:pPr>
      <w:r>
        <w:rPr>
          <w:rFonts w:ascii="Open Sans" w:hAnsi="Open Sans"/>
          <w:b w:val="0"/>
          <w:i w:val="0"/>
          <w:color w:val="59595B"/>
          <w:sz w:val="22"/>
        </w:rPr>
        <w:t>For questions about any item in this report, or to request a different reporting cadence, contact your Technijian account manager or open a ticket via the Client Portal.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296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Open Sans" w:hAnsi="Open Sans"/>
        <w:b w:val="0"/>
        <w:i w:val="0"/>
        <w:color w:val="59595B"/>
        <w:sz w:val="18"/>
      </w:rPr>
      <w:t>Technijian  |  18 Technology Dr., Ste 141, Irvine, CA 92618  |  949.379.8500  |  technijian.com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drawing>
        <wp:inline xmlns:a="http://schemas.openxmlformats.org/drawingml/2006/main" xmlns:pic="http://schemas.openxmlformats.org/drawingml/2006/picture">
          <wp:extent cx="1554480" cy="323850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technijian-logo-full-color-600x125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554480" cy="323850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Open Sans" w:hAnsi="Open Sans"/>
      <w:color w:val="59595B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