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CCC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17 patches across 3 CCC endpoints — 17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CCC's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 Patch Management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CCC-DC-SQL-02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CCC-DC-TSVDI-01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CCC-DC-AD-01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11.1%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44.4%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16.7%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27.8%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55.6%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10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windows10.0-kb5078766-x64-2022.msu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windows10.0-kb5082314-x64-2022.msu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MicrosoftEdgeWebView2RuntimeInstallerX64_146.0.3856.59.exe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googlechromestandaloneenterprise64_146.0.7680.80.msi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googlechromestandaloneenterprise64_146.0.7680.76.msi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microsoftedgeenterprise_146.0.3856.59_x64.msi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SQLServer2019-KB5077469-x64.exe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17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3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2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3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'CCC'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